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5D24" w:rsidRDefault="007B5D24">
      <w:pPr>
        <w:rPr>
          <w:rFonts w:hint="eastAsia"/>
          <w:snapToGrid w:val="0"/>
        </w:rPr>
      </w:pPr>
      <w:bookmarkStart w:id="0" w:name="_GoBack"/>
      <w:bookmarkEnd w:id="0"/>
    </w:p>
    <w:p w:rsidR="00F95C15" w:rsidRDefault="00F95C15">
      <w:pPr>
        <w:rPr>
          <w:snapToGrid w:val="0"/>
        </w:rPr>
      </w:pPr>
      <w:r w:rsidRPr="00D226F3">
        <w:rPr>
          <w:rFonts w:hAnsi="ＭＳ 明朝" w:hint="eastAsia"/>
          <w:color w:val="000000"/>
          <w:spacing w:val="5"/>
        </w:rPr>
        <w:t>（別記第</w:t>
      </w:r>
      <w:r w:rsidR="007F0CCD">
        <w:rPr>
          <w:rFonts w:hAnsi="ＭＳ 明朝" w:hint="eastAsia"/>
          <w:color w:val="000000"/>
          <w:spacing w:val="5"/>
        </w:rPr>
        <w:t>５</w:t>
      </w:r>
      <w:r w:rsidRPr="00D226F3">
        <w:rPr>
          <w:rFonts w:hAnsi="ＭＳ 明朝" w:hint="eastAsia"/>
          <w:color w:val="000000"/>
          <w:spacing w:val="5"/>
        </w:rPr>
        <w:t>号様式）</w:t>
      </w:r>
    </w:p>
    <w:p w:rsidR="00F95C15" w:rsidRDefault="00F95C15">
      <w:pPr>
        <w:rPr>
          <w:snapToGrid w:val="0"/>
        </w:rPr>
      </w:pPr>
    </w:p>
    <w:p w:rsidR="007B5D24" w:rsidRPr="00F95C15" w:rsidRDefault="007B5D24">
      <w:pPr>
        <w:rPr>
          <w:b/>
          <w:snapToGrid w:val="0"/>
        </w:rPr>
      </w:pPr>
      <w:r w:rsidRPr="00F95C15">
        <w:rPr>
          <w:rFonts w:hint="eastAsia"/>
          <w:b/>
          <w:snapToGrid w:val="0"/>
        </w:rPr>
        <w:t>プログラム情報</w:t>
      </w:r>
    </w:p>
    <w:p w:rsidR="007B5D24" w:rsidRDefault="007B5D24">
      <w:pPr>
        <w:rPr>
          <w:snapToGrid w:val="0"/>
        </w:rPr>
      </w:pPr>
    </w:p>
    <w:p w:rsidR="007B5D24" w:rsidRDefault="007B5D24">
      <w:pPr>
        <w:rPr>
          <w:snapToGrid w:val="0"/>
        </w:rPr>
      </w:pPr>
      <w:r>
        <w:rPr>
          <w:rFonts w:hint="eastAsia"/>
          <w:snapToGrid w:val="0"/>
        </w:rPr>
        <w:t>【表紙】</w:t>
      </w:r>
    </w:p>
    <w:p w:rsidR="007B5D24" w:rsidRDefault="007B5D24">
      <w:pPr>
        <w:rPr>
          <w:snapToGrid w:val="0"/>
        </w:rPr>
      </w:pPr>
      <w:r>
        <w:rPr>
          <w:rFonts w:hint="eastAsia"/>
          <w:snapToGrid w:val="0"/>
        </w:rPr>
        <w:t>【公表書類】プログラム情報</w:t>
      </w:r>
    </w:p>
    <w:p w:rsidR="007B5D24" w:rsidRDefault="007B5D24">
      <w:pPr>
        <w:rPr>
          <w:snapToGrid w:val="0"/>
        </w:rPr>
      </w:pPr>
      <w:r>
        <w:rPr>
          <w:rFonts w:hint="eastAsia"/>
          <w:snapToGrid w:val="0"/>
        </w:rPr>
        <w:t>【公表日】　年　月　日</w:t>
      </w:r>
    </w:p>
    <w:p w:rsidR="007B5D24" w:rsidRDefault="007B5D24">
      <w:pPr>
        <w:rPr>
          <w:snapToGrid w:val="0"/>
        </w:rPr>
      </w:pPr>
      <w:r>
        <w:rPr>
          <w:rFonts w:hint="eastAsia"/>
          <w:snapToGrid w:val="0"/>
        </w:rPr>
        <w:t>【発行者の名称】</w:t>
      </w:r>
    </w:p>
    <w:p w:rsidR="007B5D24" w:rsidRDefault="007B5D24">
      <w:pPr>
        <w:rPr>
          <w:snapToGrid w:val="0"/>
        </w:rPr>
      </w:pPr>
      <w:r>
        <w:rPr>
          <w:rFonts w:hint="eastAsia"/>
          <w:snapToGrid w:val="0"/>
        </w:rPr>
        <w:t>【代表者の役職氏名】</w:t>
      </w:r>
    </w:p>
    <w:p w:rsidR="007B5D24" w:rsidRDefault="007B5D24">
      <w:pPr>
        <w:rPr>
          <w:snapToGrid w:val="0"/>
        </w:rPr>
      </w:pPr>
      <w:r>
        <w:rPr>
          <w:rFonts w:hint="eastAsia"/>
          <w:snapToGrid w:val="0"/>
        </w:rPr>
        <w:t>【本店の所在の場所】</w:t>
      </w:r>
    </w:p>
    <w:p w:rsidR="007B5D24" w:rsidRDefault="007B5D24">
      <w:pPr>
        <w:rPr>
          <w:snapToGrid w:val="0"/>
        </w:rPr>
      </w:pPr>
      <w:r>
        <w:rPr>
          <w:rFonts w:hint="eastAsia"/>
          <w:snapToGrid w:val="0"/>
        </w:rPr>
        <w:t>【電話番号】</w:t>
      </w:r>
    </w:p>
    <w:p w:rsidR="007B5D24" w:rsidRDefault="007B5D24">
      <w:pPr>
        <w:rPr>
          <w:snapToGrid w:val="0"/>
        </w:rPr>
      </w:pPr>
      <w:r>
        <w:rPr>
          <w:rFonts w:hint="eastAsia"/>
          <w:snapToGrid w:val="0"/>
        </w:rPr>
        <w:t>【事務連絡者氏名】</w:t>
      </w:r>
    </w:p>
    <w:p w:rsidR="007B5D24" w:rsidRDefault="007B5D24">
      <w:pPr>
        <w:rPr>
          <w:snapToGrid w:val="0"/>
        </w:rPr>
      </w:pPr>
      <w:r>
        <w:rPr>
          <w:rFonts w:hint="eastAsia"/>
          <w:snapToGrid w:val="0"/>
        </w:rPr>
        <w:t>【有価証券の種類】</w:t>
      </w:r>
    </w:p>
    <w:p w:rsidR="007B5D24" w:rsidRDefault="007B5D24">
      <w:pPr>
        <w:rPr>
          <w:snapToGrid w:val="0"/>
        </w:rPr>
      </w:pPr>
      <w:r>
        <w:rPr>
          <w:rFonts w:hint="eastAsia"/>
          <w:snapToGrid w:val="0"/>
        </w:rPr>
        <w:t>【発行予定期間】</w:t>
      </w:r>
      <w:r>
        <w:rPr>
          <w:snapToGrid w:val="0"/>
        </w:rPr>
        <w:t>(</w:t>
      </w:r>
      <w:r w:rsidR="007F0CCD">
        <w:rPr>
          <w:rFonts w:hint="eastAsia"/>
          <w:snapToGrid w:val="0"/>
        </w:rPr>
        <w:t>２</w:t>
      </w:r>
      <w:r>
        <w:rPr>
          <w:snapToGrid w:val="0"/>
        </w:rPr>
        <w:t>)</w:t>
      </w:r>
    </w:p>
    <w:p w:rsidR="007B5D24" w:rsidRDefault="007B5D24">
      <w:pPr>
        <w:rPr>
          <w:snapToGrid w:val="0"/>
        </w:rPr>
      </w:pPr>
      <w:r>
        <w:rPr>
          <w:rFonts w:hint="eastAsia"/>
          <w:snapToGrid w:val="0"/>
        </w:rPr>
        <w:t>【発行残高の上限】</w:t>
      </w:r>
      <w:r>
        <w:rPr>
          <w:snapToGrid w:val="0"/>
        </w:rPr>
        <w:t>(</w:t>
      </w:r>
      <w:r w:rsidR="007F0CCD">
        <w:rPr>
          <w:rFonts w:hint="eastAsia"/>
          <w:snapToGrid w:val="0"/>
        </w:rPr>
        <w:t>３</w:t>
      </w:r>
      <w:r>
        <w:rPr>
          <w:snapToGrid w:val="0"/>
        </w:rPr>
        <w:t>)</w:t>
      </w:r>
    </w:p>
    <w:p w:rsidR="007B5D24" w:rsidRDefault="007B5D24">
      <w:pPr>
        <w:rPr>
          <w:snapToGrid w:val="0"/>
        </w:rPr>
      </w:pPr>
      <w:r>
        <w:rPr>
          <w:rFonts w:hint="eastAsia"/>
          <w:snapToGrid w:val="0"/>
        </w:rPr>
        <w:t>【公表されるホームページのアドレス】</w:t>
      </w:r>
    </w:p>
    <w:p w:rsidR="007B5D24" w:rsidRDefault="007B5D24">
      <w:pPr>
        <w:rPr>
          <w:snapToGrid w:val="0"/>
        </w:rPr>
      </w:pPr>
      <w:r>
        <w:rPr>
          <w:rFonts w:hint="eastAsia"/>
          <w:snapToGrid w:val="0"/>
        </w:rPr>
        <w:t>【有価証券報告書又は発行者情報の提出状況】</w:t>
      </w:r>
      <w:r>
        <w:rPr>
          <w:snapToGrid w:val="0"/>
        </w:rPr>
        <w:t>(</w:t>
      </w:r>
      <w:r w:rsidR="007F0CCD">
        <w:rPr>
          <w:rFonts w:hint="eastAsia"/>
          <w:snapToGrid w:val="0"/>
        </w:rPr>
        <w:t>４</w:t>
      </w:r>
      <w:r>
        <w:rPr>
          <w:snapToGrid w:val="0"/>
        </w:rPr>
        <w:t>)</w:t>
      </w:r>
    </w:p>
    <w:p w:rsidR="007B5D24" w:rsidRDefault="007B5D24">
      <w:pPr>
        <w:rPr>
          <w:snapToGrid w:val="0"/>
        </w:rPr>
      </w:pPr>
      <w:r>
        <w:rPr>
          <w:rFonts w:hint="eastAsia"/>
          <w:snapToGrid w:val="0"/>
        </w:rPr>
        <w:t>【投資者に対する注意事項】</w:t>
      </w:r>
    </w:p>
    <w:p w:rsidR="007B5D24" w:rsidRDefault="007B5D24">
      <w:pPr>
        <w:rPr>
          <w:snapToGrid w:val="0"/>
        </w:rPr>
      </w:pPr>
    </w:p>
    <w:p w:rsidR="007B5D24" w:rsidRDefault="007F0CCD">
      <w:pPr>
        <w:ind w:left="210" w:hanging="210"/>
        <w:rPr>
          <w:snapToGrid w:val="0"/>
        </w:rPr>
      </w:pPr>
      <w:r>
        <w:rPr>
          <w:rFonts w:hint="eastAsia"/>
          <w:snapToGrid w:val="0"/>
        </w:rPr>
        <w:t>１</w:t>
      </w:r>
      <w:r w:rsidR="007B5D24">
        <w:rPr>
          <w:rFonts w:hint="eastAsia"/>
          <w:snapToGrid w:val="0"/>
        </w:rPr>
        <w:t xml:space="preserve">　ＴＯＫＹＯ　ＰＲＯ―ＢＯＮＤ　Ｍａｒｋｅｔは、特定投資家等を対象とした市場であり、その上場債券は、高い投資リスクを含んでいる場合があります。投資者は、ＴＯＫＹＯ　ＰＲＯ―ＢＯＮＤ　Ｍａｒｋｅｔの上場債券の発行者に適用される上場適格性要件及び適時開示基準並びに市場価格の変動に関するリスクに留意し、自らの責任で投資を行う必要があります。また、投資者は、プログラム情報により公表された情報を慎重に検討した上で投資判断を行う必要があります。</w:t>
      </w:r>
    </w:p>
    <w:p w:rsidR="007B5D24" w:rsidRDefault="007B5D24">
      <w:pPr>
        <w:rPr>
          <w:snapToGrid w:val="0"/>
        </w:rPr>
      </w:pPr>
    </w:p>
    <w:p w:rsidR="007B5D24" w:rsidRDefault="007F0CCD">
      <w:pPr>
        <w:ind w:left="210" w:hanging="210"/>
        <w:rPr>
          <w:snapToGrid w:val="0"/>
        </w:rPr>
      </w:pPr>
      <w:r>
        <w:rPr>
          <w:rFonts w:hint="eastAsia"/>
          <w:snapToGrid w:val="0"/>
        </w:rPr>
        <w:t>２</w:t>
      </w:r>
      <w:r w:rsidR="007B5D24">
        <w:rPr>
          <w:rFonts w:hint="eastAsia"/>
          <w:snapToGrid w:val="0"/>
        </w:rPr>
        <w:t xml:space="preserve">　プログラム情報を公表した発行者のその公表の時における役員（金融商品取引法（以下「法」という。）第</w:t>
      </w:r>
      <w:r>
        <w:rPr>
          <w:snapToGrid w:val="0"/>
        </w:rPr>
        <w:t>２１</w:t>
      </w:r>
      <w:r w:rsidR="007B5D24">
        <w:rPr>
          <w:rFonts w:hint="eastAsia"/>
          <w:snapToGrid w:val="0"/>
        </w:rPr>
        <w:t>条第</w:t>
      </w:r>
      <w:r>
        <w:rPr>
          <w:rFonts w:hint="eastAsia"/>
          <w:snapToGrid w:val="0"/>
        </w:rPr>
        <w:t>１</w:t>
      </w:r>
      <w:r w:rsidR="007B5D24">
        <w:rPr>
          <w:rFonts w:hint="eastAsia"/>
          <w:snapToGrid w:val="0"/>
        </w:rPr>
        <w:t>項に規定する役員（取締役、会計参与、監査役若しくは執行役又はこれらに準ずる者）をいう。以下この項において同じ。）は、プログラム情報のうち重要な事項について虚偽の情報があり、又は公表すべき重要な事項若しくは誤解を生じさせないために必要な重要な事実に関する情報が欠けていたときは、法第</w:t>
      </w:r>
      <w:r>
        <w:rPr>
          <w:snapToGrid w:val="0"/>
        </w:rPr>
        <w:t>２７</w:t>
      </w:r>
      <w:r w:rsidR="007B5D24">
        <w:rPr>
          <w:rFonts w:hint="eastAsia"/>
          <w:snapToGrid w:val="0"/>
        </w:rPr>
        <w:t>条の</w:t>
      </w:r>
      <w:r>
        <w:rPr>
          <w:snapToGrid w:val="0"/>
        </w:rPr>
        <w:t>３３</w:t>
      </w:r>
      <w:r w:rsidR="007B5D24">
        <w:rPr>
          <w:rFonts w:hint="eastAsia"/>
          <w:snapToGrid w:val="0"/>
        </w:rPr>
        <w:t>において準用する法第</w:t>
      </w:r>
      <w:r>
        <w:rPr>
          <w:snapToGrid w:val="0"/>
        </w:rPr>
        <w:t>２１</w:t>
      </w:r>
      <w:r w:rsidR="007B5D24">
        <w:rPr>
          <w:rFonts w:hint="eastAsia"/>
          <w:snapToGrid w:val="0"/>
        </w:rPr>
        <w:t>条第</w:t>
      </w:r>
      <w:r>
        <w:rPr>
          <w:rFonts w:hint="eastAsia"/>
          <w:snapToGrid w:val="0"/>
        </w:rPr>
        <w:t>１</w:t>
      </w:r>
      <w:r w:rsidR="007B5D24">
        <w:rPr>
          <w:rFonts w:hint="eastAsia"/>
          <w:snapToGrid w:val="0"/>
        </w:rPr>
        <w:t>項第</w:t>
      </w:r>
      <w:r>
        <w:rPr>
          <w:rFonts w:hint="eastAsia"/>
          <w:snapToGrid w:val="0"/>
        </w:rPr>
        <w:t>１</w:t>
      </w:r>
      <w:r w:rsidR="007B5D24">
        <w:rPr>
          <w:rFonts w:hint="eastAsia"/>
          <w:snapToGrid w:val="0"/>
        </w:rPr>
        <w:t>号及び法第</w:t>
      </w:r>
      <w:r>
        <w:rPr>
          <w:snapToGrid w:val="0"/>
        </w:rPr>
        <w:t>２７</w:t>
      </w:r>
      <w:r w:rsidR="007B5D24">
        <w:rPr>
          <w:rFonts w:hint="eastAsia"/>
          <w:snapToGrid w:val="0"/>
        </w:rPr>
        <w:t>条の</w:t>
      </w:r>
      <w:r>
        <w:rPr>
          <w:snapToGrid w:val="0"/>
        </w:rPr>
        <w:t>３４</w:t>
      </w:r>
      <w:r w:rsidR="007B5D24">
        <w:rPr>
          <w:rFonts w:hint="eastAsia"/>
          <w:snapToGrid w:val="0"/>
        </w:rPr>
        <w:t>において準用する同法第</w:t>
      </w:r>
      <w:r>
        <w:rPr>
          <w:snapToGrid w:val="0"/>
        </w:rPr>
        <w:t>２２</w:t>
      </w:r>
      <w:r w:rsidR="007B5D24">
        <w:rPr>
          <w:rFonts w:hint="eastAsia"/>
          <w:snapToGrid w:val="0"/>
        </w:rPr>
        <w:t>条の規定に基づき、当該有価証券を取得した者に対し、情報が虚偽であり又は欠けていることにより生じた損害を賠償する責任を負います。ただし、当該有価証券を取得した者がその取得の申込みの際に、情報が虚偽であり、又は欠けていることを知っていたときは、この限りではありません。また、当該役員は、情報が虚偽であり又は欠けていることを知らず、かつ、相当な注意を用いたにもかかわらず知ることができなかったことを証明したときは、上記賠償責任を負いません。</w:t>
      </w:r>
    </w:p>
    <w:p w:rsidR="007B5D24" w:rsidRDefault="007B5D24">
      <w:pPr>
        <w:rPr>
          <w:snapToGrid w:val="0"/>
        </w:rPr>
      </w:pPr>
    </w:p>
    <w:p w:rsidR="007B5D24" w:rsidRDefault="007F0CCD">
      <w:pPr>
        <w:ind w:left="210" w:hanging="210"/>
        <w:rPr>
          <w:snapToGrid w:val="0"/>
        </w:rPr>
      </w:pPr>
      <w:r>
        <w:rPr>
          <w:rFonts w:hint="eastAsia"/>
          <w:snapToGrid w:val="0"/>
        </w:rPr>
        <w:t>３</w:t>
      </w:r>
      <w:r w:rsidR="007B5D24">
        <w:rPr>
          <w:rFonts w:hint="eastAsia"/>
          <w:snapToGrid w:val="0"/>
        </w:rPr>
        <w:t xml:space="preserve">　ＴＯＫＹＯ　ＰＲＯ―ＢＯＮＤ　Ｍａｒｋｅｔにおける取引所規則の枠組みは、基本的な部分において日本の一般的な取引所金融商品市場に適用される取引所規則の枠組みと異なっています。投資者は、東京証券取引所のホームページ等に掲載されるＴＯＫＹＯ　ＰＲＯ―ＢＯＮＤ　Ｍａｒｋｅｔに係る諸規則に留意する必要があります。</w:t>
      </w:r>
    </w:p>
    <w:p w:rsidR="007B5D24" w:rsidRDefault="007B5D24">
      <w:pPr>
        <w:rPr>
          <w:snapToGrid w:val="0"/>
        </w:rPr>
      </w:pPr>
    </w:p>
    <w:p w:rsidR="007B5D24" w:rsidRDefault="007F0CCD">
      <w:pPr>
        <w:ind w:left="210" w:hanging="210"/>
        <w:rPr>
          <w:snapToGrid w:val="0"/>
        </w:rPr>
      </w:pPr>
      <w:r>
        <w:rPr>
          <w:rFonts w:hint="eastAsia"/>
          <w:snapToGrid w:val="0"/>
        </w:rPr>
        <w:t>４</w:t>
      </w:r>
      <w:r w:rsidR="007B5D24">
        <w:rPr>
          <w:rFonts w:hint="eastAsia"/>
          <w:snapToGrid w:val="0"/>
        </w:rPr>
        <w:t xml:space="preserve">　東京証券取引所は、プログラム情報の内容（プログラム情報に虚偽の情報があるか否か、又は公表すべき事項若しくは誤解を生じさせないために必要な重要な事実に関する情報が欠けているか否かという点を含みますが、これらに限られません。）について、何らの表明又は保証等をしておらず、損害賠償責任その他の一切の責任を負いません。</w:t>
      </w:r>
    </w:p>
    <w:p w:rsidR="007B5D24" w:rsidRDefault="007B5D24">
      <w:pPr>
        <w:rPr>
          <w:snapToGrid w:val="0"/>
        </w:rPr>
      </w:pPr>
      <w:r>
        <w:rPr>
          <w:snapToGrid w:val="0"/>
        </w:rPr>
        <w:br w:type="page"/>
      </w:r>
    </w:p>
    <w:p w:rsidR="007B5D24" w:rsidRDefault="007F0CCD">
      <w:pPr>
        <w:overflowPunct w:val="0"/>
        <w:ind w:left="210" w:hanging="210"/>
        <w:rPr>
          <w:snapToGrid w:val="0"/>
        </w:rPr>
      </w:pPr>
      <w:r>
        <w:rPr>
          <w:rFonts w:hint="eastAsia"/>
          <w:snapToGrid w:val="0"/>
        </w:rPr>
        <w:t>５</w:t>
      </w:r>
      <w:r w:rsidR="007B5D24">
        <w:rPr>
          <w:rFonts w:hint="eastAsia"/>
          <w:snapToGrid w:val="0"/>
        </w:rPr>
        <w:t xml:space="preserve">　このプログラム情報</w:t>
      </w:r>
      <w:r w:rsidR="007B5D24">
        <w:rPr>
          <w:rFonts w:hint="eastAsia"/>
          <w:snapToGrid w:val="0"/>
          <w:lang w:val="en-GB"/>
        </w:rPr>
        <w:t>（法第</w:t>
      </w:r>
      <w:r>
        <w:rPr>
          <w:rFonts w:hint="eastAsia"/>
          <w:snapToGrid w:val="0"/>
          <w:lang w:val="en-GB"/>
        </w:rPr>
        <w:t>３</w:t>
      </w:r>
      <w:r w:rsidR="007B5D24">
        <w:rPr>
          <w:rFonts w:hint="eastAsia"/>
          <w:snapToGrid w:val="0"/>
          <w:lang w:val="en-GB"/>
        </w:rPr>
        <w:t>条各号に掲げる有価証券に係るものを除く。）</w:t>
      </w:r>
      <w:r w:rsidR="007B5D24">
        <w:rPr>
          <w:rFonts w:hint="eastAsia"/>
          <w:snapToGrid w:val="0"/>
        </w:rPr>
        <w:t>は、</w:t>
      </w:r>
      <w:r w:rsidR="007B5D24">
        <w:rPr>
          <w:rFonts w:hint="eastAsia"/>
          <w:snapToGrid w:val="0"/>
          <w:lang w:val="en-GB"/>
        </w:rPr>
        <w:t>証券情報等の提供又は公表に関する内閣府令第</w:t>
      </w:r>
      <w:r>
        <w:rPr>
          <w:rFonts w:hint="eastAsia"/>
          <w:snapToGrid w:val="0"/>
          <w:lang w:val="en-GB"/>
        </w:rPr>
        <w:t>２</w:t>
      </w:r>
      <w:r w:rsidR="007B5D24">
        <w:rPr>
          <w:rFonts w:hint="eastAsia"/>
          <w:snapToGrid w:val="0"/>
          <w:lang w:val="en-GB"/>
        </w:rPr>
        <w:t>条第</w:t>
      </w:r>
      <w:r>
        <w:rPr>
          <w:rFonts w:hint="eastAsia"/>
          <w:snapToGrid w:val="0"/>
          <w:lang w:val="en-GB"/>
        </w:rPr>
        <w:t>１</w:t>
      </w:r>
      <w:r w:rsidR="007B5D24">
        <w:rPr>
          <w:rFonts w:hint="eastAsia"/>
          <w:snapToGrid w:val="0"/>
          <w:lang w:val="en-GB"/>
        </w:rPr>
        <w:t>項第</w:t>
      </w:r>
      <w:r>
        <w:rPr>
          <w:rFonts w:hint="eastAsia"/>
          <w:snapToGrid w:val="0"/>
          <w:lang w:val="en-GB"/>
        </w:rPr>
        <w:t>１</w:t>
      </w:r>
      <w:r w:rsidR="007B5D24">
        <w:rPr>
          <w:rFonts w:hint="eastAsia"/>
          <w:snapToGrid w:val="0"/>
          <w:lang w:val="en-GB"/>
        </w:rPr>
        <w:t>号に規定する特定取引所規則において定める情報として、</w:t>
      </w:r>
      <w:r w:rsidR="007B5D24">
        <w:rPr>
          <w:rFonts w:hint="eastAsia"/>
          <w:snapToGrid w:val="0"/>
        </w:rPr>
        <w:t>特定上場有価証券に関する有価証券上場規程の特例（以下「</w:t>
      </w:r>
      <w:r w:rsidR="007B5D24">
        <w:rPr>
          <w:rFonts w:hint="eastAsia"/>
          <w:snapToGrid w:val="0"/>
          <w:lang w:val="en-GB"/>
        </w:rPr>
        <w:t>特例」という。）第</w:t>
      </w:r>
      <w:r>
        <w:rPr>
          <w:snapToGrid w:val="0"/>
          <w:lang w:val="en-GB"/>
        </w:rPr>
        <w:t>２０６</w:t>
      </w:r>
      <w:r w:rsidR="007B5D24">
        <w:rPr>
          <w:rFonts w:hint="eastAsia"/>
          <w:snapToGrid w:val="0"/>
          <w:lang w:val="en-GB"/>
        </w:rPr>
        <w:t>条第</w:t>
      </w:r>
      <w:r>
        <w:rPr>
          <w:rFonts w:hint="eastAsia"/>
          <w:snapToGrid w:val="0"/>
          <w:lang w:val="en-GB"/>
        </w:rPr>
        <w:t>２</w:t>
      </w:r>
      <w:r w:rsidR="007B5D24">
        <w:rPr>
          <w:rFonts w:hint="eastAsia"/>
          <w:snapToGrid w:val="0"/>
          <w:lang w:val="en-GB"/>
        </w:rPr>
        <w:t>項</w:t>
      </w:r>
      <w:r w:rsidR="007B5D24">
        <w:rPr>
          <w:rFonts w:hint="eastAsia"/>
          <w:snapToGrid w:val="0"/>
        </w:rPr>
        <w:t>の規定</w:t>
      </w:r>
      <w:r w:rsidR="007B5D24">
        <w:rPr>
          <w:rFonts w:hint="eastAsia"/>
          <w:snapToGrid w:val="0"/>
          <w:lang w:val="en-GB"/>
        </w:rPr>
        <w:t>に基づき本様式に掲げる事項に関する情報が記載された場合には、</w:t>
      </w:r>
      <w:r w:rsidR="007B5D24">
        <w:rPr>
          <w:rFonts w:hint="eastAsia"/>
          <w:snapToGrid w:val="0"/>
        </w:rPr>
        <w:t>法第</w:t>
      </w:r>
      <w:r>
        <w:rPr>
          <w:snapToGrid w:val="0"/>
        </w:rPr>
        <w:t>２７</w:t>
      </w:r>
      <w:r w:rsidR="007B5D24">
        <w:rPr>
          <w:rFonts w:hint="eastAsia"/>
          <w:snapToGrid w:val="0"/>
          <w:lang w:val="en-GB"/>
        </w:rPr>
        <w:t>条の</w:t>
      </w:r>
      <w:r>
        <w:rPr>
          <w:snapToGrid w:val="0"/>
          <w:lang w:val="en-GB"/>
        </w:rPr>
        <w:t>３１</w:t>
      </w:r>
      <w:r w:rsidR="007B5D24">
        <w:rPr>
          <w:rFonts w:hint="eastAsia"/>
          <w:snapToGrid w:val="0"/>
          <w:lang w:val="en-GB"/>
        </w:rPr>
        <w:t>第</w:t>
      </w:r>
      <w:r>
        <w:rPr>
          <w:rFonts w:hint="eastAsia"/>
          <w:snapToGrid w:val="0"/>
          <w:lang w:val="en-GB"/>
        </w:rPr>
        <w:t>１</w:t>
      </w:r>
      <w:r w:rsidR="007B5D24">
        <w:rPr>
          <w:rFonts w:hint="eastAsia"/>
          <w:snapToGrid w:val="0"/>
          <w:lang w:val="en-GB"/>
        </w:rPr>
        <w:t>項に規定する特定証券情報</w:t>
      </w:r>
      <w:r w:rsidR="007B5D24">
        <w:rPr>
          <w:rFonts w:hint="eastAsia"/>
          <w:snapToGrid w:val="0"/>
        </w:rPr>
        <w:t>を構成するものです。</w:t>
      </w:r>
    </w:p>
    <w:p w:rsidR="007B5D24" w:rsidRDefault="007B5D24">
      <w:pPr>
        <w:rPr>
          <w:snapToGrid w:val="0"/>
        </w:rPr>
      </w:pPr>
      <w:r>
        <w:rPr>
          <w:snapToGrid w:val="0"/>
        </w:rPr>
        <w:br w:type="page"/>
      </w:r>
    </w:p>
    <w:p w:rsidR="007B5D24" w:rsidRDefault="007B5D24">
      <w:pPr>
        <w:rPr>
          <w:snapToGrid w:val="0"/>
        </w:rPr>
      </w:pPr>
      <w:r>
        <w:rPr>
          <w:rFonts w:hint="eastAsia"/>
          <w:snapToGrid w:val="0"/>
        </w:rPr>
        <w:t>第一部【証券情報】</w:t>
      </w:r>
      <w:r>
        <w:rPr>
          <w:snapToGrid w:val="0"/>
        </w:rPr>
        <w:t>(</w:t>
      </w:r>
      <w:r w:rsidR="007F0CCD">
        <w:rPr>
          <w:rFonts w:hint="eastAsia"/>
          <w:snapToGrid w:val="0"/>
        </w:rPr>
        <w:t>５</w:t>
      </w:r>
      <w:r>
        <w:rPr>
          <w:snapToGrid w:val="0"/>
        </w:rPr>
        <w:t>)</w:t>
      </w:r>
    </w:p>
    <w:p w:rsidR="007B5D24" w:rsidRDefault="007B5D24">
      <w:pPr>
        <w:rPr>
          <w:snapToGrid w:val="0"/>
        </w:rPr>
      </w:pPr>
    </w:p>
    <w:p w:rsidR="007B5D24" w:rsidRDefault="007B5D24">
      <w:pPr>
        <w:ind w:left="210"/>
        <w:rPr>
          <w:snapToGrid w:val="0"/>
        </w:rPr>
      </w:pPr>
      <w:r>
        <w:rPr>
          <w:rFonts w:hint="eastAsia"/>
          <w:snapToGrid w:val="0"/>
        </w:rPr>
        <w:t>第</w:t>
      </w:r>
      <w:r w:rsidR="007F0CCD">
        <w:rPr>
          <w:rFonts w:hint="eastAsia"/>
          <w:snapToGrid w:val="0"/>
        </w:rPr>
        <w:t>１</w:t>
      </w:r>
      <w:r>
        <w:rPr>
          <w:rFonts w:hint="eastAsia"/>
          <w:snapToGrid w:val="0"/>
        </w:rPr>
        <w:t>【特定投資家向け取得勧誘の要項】</w:t>
      </w:r>
    </w:p>
    <w:p w:rsidR="007B5D24" w:rsidRDefault="007B5D24">
      <w:pPr>
        <w:rPr>
          <w:snapToGrid w:val="0"/>
        </w:rPr>
      </w:pPr>
    </w:p>
    <w:p w:rsidR="007B5D24" w:rsidRDefault="007F0CCD">
      <w:pPr>
        <w:rPr>
          <w:snapToGrid w:val="0"/>
        </w:rPr>
      </w:pPr>
      <w:r>
        <w:rPr>
          <w:rFonts w:hint="eastAsia"/>
          <w:snapToGrid w:val="0"/>
        </w:rPr>
        <w:t>１</w:t>
      </w:r>
      <w:r w:rsidR="007B5D24">
        <w:rPr>
          <w:rFonts w:hint="eastAsia"/>
          <w:snapToGrid w:val="0"/>
        </w:rPr>
        <w:t>【新規発行社債】</w:t>
      </w:r>
    </w:p>
    <w:p w:rsidR="007B5D24" w:rsidRDefault="007F0CCD">
      <w:pPr>
        <w:rPr>
          <w:snapToGrid w:val="0"/>
        </w:rPr>
      </w:pPr>
      <w:r>
        <w:rPr>
          <w:rFonts w:hint="eastAsia"/>
          <w:snapToGrid w:val="0"/>
        </w:rPr>
        <w:t>２</w:t>
      </w:r>
      <w:r w:rsidR="007B5D24">
        <w:rPr>
          <w:rFonts w:hint="eastAsia"/>
          <w:snapToGrid w:val="0"/>
        </w:rPr>
        <w:t>【社債の引受け及び社債管理の委託】</w:t>
      </w:r>
    </w:p>
    <w:p w:rsidR="007B5D24" w:rsidRDefault="007F0CCD">
      <w:pPr>
        <w:rPr>
          <w:snapToGrid w:val="0"/>
        </w:rPr>
      </w:pPr>
      <w:r>
        <w:rPr>
          <w:rFonts w:hint="eastAsia"/>
          <w:snapToGrid w:val="0"/>
        </w:rPr>
        <w:t>３</w:t>
      </w:r>
      <w:r w:rsidR="007B5D24">
        <w:rPr>
          <w:rFonts w:hint="eastAsia"/>
          <w:snapToGrid w:val="0"/>
        </w:rPr>
        <w:t>【新規発行による手取金の使途】</w:t>
      </w:r>
    </w:p>
    <w:p w:rsidR="007B5D24" w:rsidRDefault="007B5D24">
      <w:pPr>
        <w:ind w:left="420" w:hanging="210"/>
        <w:rPr>
          <w:snapToGrid w:val="0"/>
        </w:rPr>
      </w:pPr>
      <w:r>
        <w:rPr>
          <w:snapToGrid w:val="0"/>
        </w:rPr>
        <w:t>(</w:t>
      </w:r>
      <w:r w:rsidR="007F0CCD">
        <w:rPr>
          <w:rFonts w:hint="eastAsia"/>
          <w:snapToGrid w:val="0"/>
        </w:rPr>
        <w:t>１</w:t>
      </w:r>
      <w:r>
        <w:rPr>
          <w:snapToGrid w:val="0"/>
        </w:rPr>
        <w:t>)</w:t>
      </w:r>
      <w:r>
        <w:rPr>
          <w:rFonts w:hint="eastAsia"/>
          <w:snapToGrid w:val="0"/>
        </w:rPr>
        <w:t xml:space="preserve">　【新規発行による手取金の額】</w:t>
      </w:r>
    </w:p>
    <w:p w:rsidR="007B5D24" w:rsidRDefault="007B5D24">
      <w:pPr>
        <w:ind w:left="420" w:hanging="210"/>
        <w:rPr>
          <w:snapToGrid w:val="0"/>
        </w:rPr>
      </w:pPr>
      <w:r>
        <w:rPr>
          <w:snapToGrid w:val="0"/>
        </w:rPr>
        <w:t>(</w:t>
      </w:r>
      <w:r w:rsidR="007F0CCD">
        <w:rPr>
          <w:rFonts w:hint="eastAsia"/>
          <w:snapToGrid w:val="0"/>
        </w:rPr>
        <w:t>２</w:t>
      </w:r>
      <w:r>
        <w:rPr>
          <w:snapToGrid w:val="0"/>
        </w:rPr>
        <w:t>)</w:t>
      </w:r>
      <w:r>
        <w:rPr>
          <w:rFonts w:hint="eastAsia"/>
          <w:snapToGrid w:val="0"/>
        </w:rPr>
        <w:t xml:space="preserve">　【手取金の使途】</w:t>
      </w:r>
    </w:p>
    <w:p w:rsidR="007B5D24" w:rsidRDefault="007B5D24">
      <w:pPr>
        <w:rPr>
          <w:snapToGrid w:val="0"/>
        </w:rPr>
      </w:pPr>
    </w:p>
    <w:p w:rsidR="007B5D24" w:rsidRDefault="007B5D24">
      <w:pPr>
        <w:ind w:left="210"/>
        <w:rPr>
          <w:snapToGrid w:val="0"/>
        </w:rPr>
      </w:pPr>
      <w:r>
        <w:rPr>
          <w:rFonts w:hint="eastAsia"/>
          <w:snapToGrid w:val="0"/>
        </w:rPr>
        <w:t>第</w:t>
      </w:r>
      <w:r w:rsidR="007F0CCD">
        <w:rPr>
          <w:rFonts w:hint="eastAsia"/>
          <w:snapToGrid w:val="0"/>
        </w:rPr>
        <w:t>２</w:t>
      </w:r>
      <w:r>
        <w:rPr>
          <w:rFonts w:hint="eastAsia"/>
          <w:snapToGrid w:val="0"/>
        </w:rPr>
        <w:t>【特定投資家向け売付け勧誘等の要項】</w:t>
      </w:r>
    </w:p>
    <w:p w:rsidR="007B5D24" w:rsidRDefault="007B5D24">
      <w:pPr>
        <w:rPr>
          <w:snapToGrid w:val="0"/>
        </w:rPr>
      </w:pPr>
    </w:p>
    <w:p w:rsidR="007B5D24" w:rsidRDefault="007F0CCD">
      <w:pPr>
        <w:rPr>
          <w:snapToGrid w:val="0"/>
        </w:rPr>
      </w:pPr>
      <w:r>
        <w:rPr>
          <w:rFonts w:hint="eastAsia"/>
          <w:snapToGrid w:val="0"/>
        </w:rPr>
        <w:t>１</w:t>
      </w:r>
      <w:r w:rsidR="007B5D24">
        <w:rPr>
          <w:rFonts w:hint="eastAsia"/>
          <w:snapToGrid w:val="0"/>
        </w:rPr>
        <w:t>【売付け社債】</w:t>
      </w:r>
    </w:p>
    <w:p w:rsidR="007B5D24" w:rsidRDefault="007F0CCD">
      <w:pPr>
        <w:rPr>
          <w:snapToGrid w:val="0"/>
        </w:rPr>
      </w:pPr>
      <w:r>
        <w:rPr>
          <w:rFonts w:hint="eastAsia"/>
          <w:snapToGrid w:val="0"/>
        </w:rPr>
        <w:t>２</w:t>
      </w:r>
      <w:r w:rsidR="007B5D24">
        <w:rPr>
          <w:rFonts w:hint="eastAsia"/>
          <w:snapToGrid w:val="0"/>
        </w:rPr>
        <w:t>【売付けの条件】</w:t>
      </w:r>
    </w:p>
    <w:p w:rsidR="007B5D24" w:rsidRDefault="007B5D24">
      <w:pPr>
        <w:rPr>
          <w:snapToGrid w:val="0"/>
        </w:rPr>
      </w:pPr>
    </w:p>
    <w:p w:rsidR="007B5D24" w:rsidRDefault="007B5D24">
      <w:pPr>
        <w:ind w:left="210"/>
        <w:rPr>
          <w:snapToGrid w:val="0"/>
        </w:rPr>
      </w:pPr>
      <w:r>
        <w:rPr>
          <w:rFonts w:hint="eastAsia"/>
          <w:snapToGrid w:val="0"/>
        </w:rPr>
        <w:t>第</w:t>
      </w:r>
      <w:r w:rsidR="007F0CCD">
        <w:rPr>
          <w:rFonts w:hint="eastAsia"/>
          <w:snapToGrid w:val="0"/>
        </w:rPr>
        <w:t>３</w:t>
      </w:r>
      <w:r>
        <w:rPr>
          <w:rFonts w:hint="eastAsia"/>
          <w:snapToGrid w:val="0"/>
        </w:rPr>
        <w:t>【その他の記載事項】</w:t>
      </w:r>
    </w:p>
    <w:p w:rsidR="007B5D24" w:rsidRDefault="007B5D24">
      <w:pPr>
        <w:rPr>
          <w:snapToGrid w:val="0"/>
        </w:rPr>
      </w:pPr>
    </w:p>
    <w:p w:rsidR="007B5D24" w:rsidRDefault="007B5D24">
      <w:pPr>
        <w:rPr>
          <w:snapToGrid w:val="0"/>
        </w:rPr>
      </w:pPr>
      <w:r>
        <w:rPr>
          <w:rFonts w:hint="eastAsia"/>
          <w:snapToGrid w:val="0"/>
        </w:rPr>
        <w:t>第二部【企業情報】</w:t>
      </w:r>
    </w:p>
    <w:p w:rsidR="007B5D24" w:rsidRDefault="007B5D24">
      <w:pPr>
        <w:rPr>
          <w:snapToGrid w:val="0"/>
        </w:rPr>
      </w:pPr>
    </w:p>
    <w:p w:rsidR="007B5D24" w:rsidRDefault="007B5D24">
      <w:pPr>
        <w:ind w:left="210"/>
        <w:rPr>
          <w:snapToGrid w:val="0"/>
        </w:rPr>
      </w:pPr>
      <w:r>
        <w:rPr>
          <w:rFonts w:hint="eastAsia"/>
          <w:snapToGrid w:val="0"/>
        </w:rPr>
        <w:t>第</w:t>
      </w:r>
      <w:r w:rsidR="007F0CCD">
        <w:rPr>
          <w:rFonts w:hint="eastAsia"/>
          <w:snapToGrid w:val="0"/>
        </w:rPr>
        <w:t>１</w:t>
      </w:r>
      <w:r>
        <w:rPr>
          <w:rFonts w:hint="eastAsia"/>
          <w:snapToGrid w:val="0"/>
        </w:rPr>
        <w:t>【企業の概況】</w:t>
      </w:r>
    </w:p>
    <w:p w:rsidR="007B5D24" w:rsidRDefault="007B5D24">
      <w:pPr>
        <w:rPr>
          <w:snapToGrid w:val="0"/>
        </w:rPr>
      </w:pPr>
    </w:p>
    <w:p w:rsidR="007B5D24" w:rsidRDefault="007F0CCD">
      <w:pPr>
        <w:rPr>
          <w:snapToGrid w:val="0"/>
        </w:rPr>
      </w:pPr>
      <w:r>
        <w:rPr>
          <w:rFonts w:hint="eastAsia"/>
          <w:snapToGrid w:val="0"/>
        </w:rPr>
        <w:t>１</w:t>
      </w:r>
      <w:r w:rsidR="007B5D24">
        <w:rPr>
          <w:rFonts w:hint="eastAsia"/>
          <w:snapToGrid w:val="0"/>
        </w:rPr>
        <w:t>【主要な経営指標等の推移】</w:t>
      </w:r>
    </w:p>
    <w:p w:rsidR="007B5D24" w:rsidRDefault="007F0CCD">
      <w:pPr>
        <w:rPr>
          <w:snapToGrid w:val="0"/>
        </w:rPr>
      </w:pPr>
      <w:r>
        <w:rPr>
          <w:rFonts w:hint="eastAsia"/>
          <w:snapToGrid w:val="0"/>
        </w:rPr>
        <w:t>２</w:t>
      </w:r>
      <w:r w:rsidR="007B5D24">
        <w:rPr>
          <w:rFonts w:hint="eastAsia"/>
          <w:snapToGrid w:val="0"/>
        </w:rPr>
        <w:t>【事業の内容】</w:t>
      </w:r>
    </w:p>
    <w:p w:rsidR="007B5D24" w:rsidRDefault="007F0CCD">
      <w:pPr>
        <w:rPr>
          <w:snapToGrid w:val="0"/>
        </w:rPr>
      </w:pPr>
      <w:r>
        <w:rPr>
          <w:rFonts w:hint="eastAsia"/>
          <w:snapToGrid w:val="0"/>
        </w:rPr>
        <w:t>３</w:t>
      </w:r>
      <w:r w:rsidR="007B5D24">
        <w:rPr>
          <w:rFonts w:hint="eastAsia"/>
          <w:snapToGrid w:val="0"/>
        </w:rPr>
        <w:t>【関係会社の状況】</w:t>
      </w:r>
    </w:p>
    <w:p w:rsidR="007B5D24" w:rsidRDefault="007B5D24">
      <w:pPr>
        <w:ind w:left="210"/>
        <w:rPr>
          <w:snapToGrid w:val="0"/>
        </w:rPr>
      </w:pPr>
      <w:r>
        <w:rPr>
          <w:rFonts w:hint="eastAsia"/>
          <w:snapToGrid w:val="0"/>
        </w:rPr>
        <w:t>第</w:t>
      </w:r>
      <w:r w:rsidR="007F0CCD">
        <w:rPr>
          <w:rFonts w:hint="eastAsia"/>
          <w:snapToGrid w:val="0"/>
        </w:rPr>
        <w:t>２</w:t>
      </w:r>
      <w:r>
        <w:rPr>
          <w:rFonts w:hint="eastAsia"/>
          <w:snapToGrid w:val="0"/>
        </w:rPr>
        <w:t>【経理の状況】</w:t>
      </w:r>
    </w:p>
    <w:p w:rsidR="007B5D24" w:rsidRDefault="007B5D24">
      <w:pPr>
        <w:rPr>
          <w:snapToGrid w:val="0"/>
        </w:rPr>
      </w:pPr>
    </w:p>
    <w:p w:rsidR="007B5D24" w:rsidRDefault="007B5D24">
      <w:pPr>
        <w:rPr>
          <w:snapToGrid w:val="0"/>
        </w:rPr>
      </w:pPr>
      <w:r>
        <w:rPr>
          <w:rFonts w:hint="eastAsia"/>
          <w:snapToGrid w:val="0"/>
        </w:rPr>
        <w:t>【連結財務諸表等】</w:t>
      </w:r>
    </w:p>
    <w:p w:rsidR="007B5D24" w:rsidRDefault="007B5D24">
      <w:pPr>
        <w:ind w:left="420" w:hanging="210"/>
        <w:rPr>
          <w:snapToGrid w:val="0"/>
        </w:rPr>
      </w:pPr>
      <w:r>
        <w:rPr>
          <w:snapToGrid w:val="0"/>
        </w:rPr>
        <w:t>(</w:t>
      </w:r>
      <w:r w:rsidR="007F0CCD">
        <w:rPr>
          <w:rFonts w:hint="eastAsia"/>
          <w:snapToGrid w:val="0"/>
        </w:rPr>
        <w:t>１</w:t>
      </w:r>
      <w:r>
        <w:rPr>
          <w:snapToGrid w:val="0"/>
        </w:rPr>
        <w:t>)</w:t>
      </w:r>
      <w:r>
        <w:rPr>
          <w:rFonts w:hint="eastAsia"/>
          <w:snapToGrid w:val="0"/>
        </w:rPr>
        <w:t xml:space="preserve">　【連結財務諸表】</w:t>
      </w:r>
    </w:p>
    <w:p w:rsidR="007B5D24" w:rsidRDefault="007B5D24">
      <w:pPr>
        <w:rPr>
          <w:snapToGrid w:val="0"/>
        </w:rPr>
      </w:pPr>
      <w:r>
        <w:rPr>
          <w:rFonts w:hint="eastAsia"/>
          <w:snapToGrid w:val="0"/>
        </w:rPr>
        <w:t>①【連結貸借対照表】</w:t>
      </w:r>
    </w:p>
    <w:p w:rsidR="007B5D24" w:rsidRDefault="007B5D24">
      <w:pPr>
        <w:rPr>
          <w:snapToGrid w:val="0"/>
        </w:rPr>
      </w:pPr>
      <w:r>
        <w:rPr>
          <w:rFonts w:hint="eastAsia"/>
          <w:snapToGrid w:val="0"/>
        </w:rPr>
        <w:t>②【連結損益計算書及び連結包括利益計算書】又は【連結損益及び包括利益計算書】</w:t>
      </w:r>
    </w:p>
    <w:p w:rsidR="007B5D24" w:rsidRDefault="007B5D24">
      <w:pPr>
        <w:rPr>
          <w:snapToGrid w:val="0"/>
        </w:rPr>
      </w:pPr>
      <w:r>
        <w:rPr>
          <w:rFonts w:hint="eastAsia"/>
          <w:snapToGrid w:val="0"/>
        </w:rPr>
        <w:t>③【連結株主資本等変動計算書】</w:t>
      </w:r>
    </w:p>
    <w:p w:rsidR="007B5D24" w:rsidRDefault="007B5D24">
      <w:pPr>
        <w:rPr>
          <w:snapToGrid w:val="0"/>
        </w:rPr>
      </w:pPr>
      <w:r>
        <w:rPr>
          <w:rFonts w:hint="eastAsia"/>
          <w:snapToGrid w:val="0"/>
        </w:rPr>
        <w:t>④【連結キャッシュ・フロー計算書】</w:t>
      </w:r>
    </w:p>
    <w:p w:rsidR="007B5D24" w:rsidRDefault="007B5D24">
      <w:pPr>
        <w:rPr>
          <w:snapToGrid w:val="0"/>
        </w:rPr>
      </w:pPr>
      <w:r>
        <w:rPr>
          <w:rFonts w:hint="eastAsia"/>
          <w:snapToGrid w:val="0"/>
        </w:rPr>
        <w:t>⑤【連結附属明細表】</w:t>
      </w:r>
    </w:p>
    <w:p w:rsidR="007B5D24" w:rsidRDefault="007B5D24">
      <w:pPr>
        <w:ind w:left="420" w:hanging="210"/>
        <w:rPr>
          <w:snapToGrid w:val="0"/>
        </w:rPr>
      </w:pPr>
      <w:r>
        <w:rPr>
          <w:snapToGrid w:val="0"/>
        </w:rPr>
        <w:t>(</w:t>
      </w:r>
      <w:r w:rsidR="007F0CCD">
        <w:rPr>
          <w:rFonts w:hint="eastAsia"/>
          <w:snapToGrid w:val="0"/>
        </w:rPr>
        <w:t>２</w:t>
      </w:r>
      <w:r>
        <w:rPr>
          <w:snapToGrid w:val="0"/>
        </w:rPr>
        <w:t>)</w:t>
      </w:r>
      <w:r>
        <w:rPr>
          <w:rFonts w:hint="eastAsia"/>
          <w:snapToGrid w:val="0"/>
        </w:rPr>
        <w:t xml:space="preserve">　【主な資産及び負債の内容】</w:t>
      </w:r>
    </w:p>
    <w:p w:rsidR="007B5D24" w:rsidRDefault="007B5D24">
      <w:pPr>
        <w:ind w:left="420" w:hanging="210"/>
        <w:rPr>
          <w:snapToGrid w:val="0"/>
        </w:rPr>
      </w:pPr>
      <w:r>
        <w:rPr>
          <w:snapToGrid w:val="0"/>
        </w:rPr>
        <w:t>(</w:t>
      </w:r>
      <w:r w:rsidR="007F0CCD">
        <w:rPr>
          <w:rFonts w:hint="eastAsia"/>
          <w:snapToGrid w:val="0"/>
        </w:rPr>
        <w:t>３</w:t>
      </w:r>
      <w:r>
        <w:rPr>
          <w:snapToGrid w:val="0"/>
        </w:rPr>
        <w:t>)</w:t>
      </w:r>
      <w:r>
        <w:rPr>
          <w:rFonts w:hint="eastAsia"/>
          <w:snapToGrid w:val="0"/>
        </w:rPr>
        <w:t xml:space="preserve">　【その他】</w:t>
      </w:r>
    </w:p>
    <w:p w:rsidR="007B5D24" w:rsidRDefault="007B5D24">
      <w:pPr>
        <w:rPr>
          <w:snapToGrid w:val="0"/>
        </w:rPr>
      </w:pPr>
    </w:p>
    <w:p w:rsidR="007B5D24" w:rsidRDefault="007B5D24">
      <w:pPr>
        <w:rPr>
          <w:snapToGrid w:val="0"/>
        </w:rPr>
      </w:pPr>
      <w:r>
        <w:rPr>
          <w:rFonts w:hint="eastAsia"/>
          <w:snapToGrid w:val="0"/>
        </w:rPr>
        <w:t>第三部【当該有価証券以外の有価証券に関する事項】</w:t>
      </w:r>
    </w:p>
    <w:p w:rsidR="007B5D24" w:rsidRDefault="007B5D24">
      <w:pPr>
        <w:rPr>
          <w:snapToGrid w:val="0"/>
        </w:rPr>
      </w:pPr>
    </w:p>
    <w:p w:rsidR="007B5D24" w:rsidRDefault="007B5D24">
      <w:pPr>
        <w:rPr>
          <w:snapToGrid w:val="0"/>
        </w:rPr>
      </w:pPr>
      <w:r>
        <w:rPr>
          <w:rFonts w:hint="eastAsia"/>
          <w:snapToGrid w:val="0"/>
        </w:rPr>
        <w:t>第四部【発行者の保証会社の情報】</w:t>
      </w:r>
    </w:p>
    <w:p w:rsidR="007B5D24" w:rsidRDefault="007B5D24">
      <w:pPr>
        <w:rPr>
          <w:snapToGrid w:val="0"/>
        </w:rPr>
      </w:pPr>
      <w:r>
        <w:rPr>
          <w:snapToGrid w:val="0"/>
        </w:rPr>
        <w:br w:type="page"/>
      </w:r>
    </w:p>
    <w:p w:rsidR="007B5D24" w:rsidRDefault="007B5D24">
      <w:pPr>
        <w:ind w:left="630"/>
        <w:rPr>
          <w:snapToGrid w:val="0"/>
        </w:rPr>
      </w:pPr>
      <w:r>
        <w:rPr>
          <w:rFonts w:hint="eastAsia"/>
          <w:snapToGrid w:val="0"/>
        </w:rPr>
        <w:t>（記載上の注意）</w:t>
      </w:r>
    </w:p>
    <w:p w:rsidR="007B5D24" w:rsidRDefault="007B5D24">
      <w:pPr>
        <w:ind w:left="420" w:hanging="210"/>
        <w:rPr>
          <w:snapToGrid w:val="0"/>
        </w:rPr>
      </w:pPr>
      <w:r>
        <w:rPr>
          <w:snapToGrid w:val="0"/>
        </w:rPr>
        <w:t>(</w:t>
      </w:r>
      <w:r w:rsidR="007F0CCD">
        <w:rPr>
          <w:rFonts w:hint="eastAsia"/>
          <w:snapToGrid w:val="0"/>
        </w:rPr>
        <w:t>１</w:t>
      </w:r>
      <w:r>
        <w:rPr>
          <w:snapToGrid w:val="0"/>
        </w:rPr>
        <w:t>)</w:t>
      </w:r>
      <w:r>
        <w:rPr>
          <w:rFonts w:hint="eastAsia"/>
          <w:snapToGrid w:val="0"/>
        </w:rPr>
        <w:t xml:space="preserve">　一般的事項</w:t>
      </w:r>
    </w:p>
    <w:p w:rsidR="007B5D24" w:rsidRDefault="007B5D24">
      <w:pPr>
        <w:ind w:left="420" w:firstLine="210"/>
        <w:rPr>
          <w:snapToGrid w:val="0"/>
        </w:rPr>
      </w:pPr>
      <w:r>
        <w:rPr>
          <w:rFonts w:hint="eastAsia"/>
          <w:snapToGrid w:val="0"/>
        </w:rPr>
        <w:t>記載事項及び記載上の注意は、一般的標準を示したものであり、これによりがたいやむを得ない事情がある場合には、投資者に誤解を生じさせない範囲内において、必要に応じて本国等における法制度、会計基準（特例第</w:t>
      </w:r>
      <w:r w:rsidR="007F0CCD">
        <w:rPr>
          <w:snapToGrid w:val="0"/>
        </w:rPr>
        <w:t>２０９</w:t>
      </w:r>
      <w:r>
        <w:rPr>
          <w:rFonts w:hint="eastAsia"/>
          <w:snapToGrid w:val="0"/>
        </w:rPr>
        <w:t>条第</w:t>
      </w:r>
      <w:r w:rsidR="007F0CCD">
        <w:rPr>
          <w:rFonts w:hint="eastAsia"/>
          <w:snapToGrid w:val="0"/>
        </w:rPr>
        <w:t>５</w:t>
      </w:r>
      <w:r>
        <w:rPr>
          <w:rFonts w:hint="eastAsia"/>
          <w:snapToGrid w:val="0"/>
        </w:rPr>
        <w:t>項に規定するものに限る。）、実務慣行等を勘案した上で、これに準じて記載することができる。本記載上の注意に記載のない事項については、第</w:t>
      </w:r>
      <w:r w:rsidR="007F0CCD">
        <w:rPr>
          <w:rFonts w:hint="eastAsia"/>
          <w:snapToGrid w:val="0"/>
        </w:rPr>
        <w:t>８</w:t>
      </w:r>
      <w:r>
        <w:rPr>
          <w:rFonts w:hint="eastAsia"/>
          <w:snapToGrid w:val="0"/>
        </w:rPr>
        <w:t>号様式の記載上の注意に準じて記載するものとする。また、プログラム情報を英語で記載する場合には、記載事項及び記載上の注意に準じて記載すること。</w:t>
      </w:r>
    </w:p>
    <w:p w:rsidR="007B5D24" w:rsidRDefault="007B5D24">
      <w:pPr>
        <w:ind w:left="420" w:firstLine="210"/>
        <w:rPr>
          <w:snapToGrid w:val="0"/>
        </w:rPr>
      </w:pPr>
      <w:r>
        <w:rPr>
          <w:rFonts w:hint="eastAsia"/>
          <w:snapToGrid w:val="0"/>
        </w:rPr>
        <w:t>なお、本様式に基づきプログラム情報として記載された事項及び第</w:t>
      </w:r>
      <w:r w:rsidR="007F0CCD">
        <w:rPr>
          <w:rFonts w:hint="eastAsia"/>
          <w:snapToGrid w:val="0"/>
        </w:rPr>
        <w:t>８</w:t>
      </w:r>
      <w:r>
        <w:rPr>
          <w:rFonts w:hint="eastAsia"/>
          <w:snapToGrid w:val="0"/>
        </w:rPr>
        <w:t>号様式に基づき特定証券情報（補完）として記載された事項は、それぞれ法第</w:t>
      </w:r>
      <w:r w:rsidR="007F0CCD">
        <w:rPr>
          <w:snapToGrid w:val="0"/>
        </w:rPr>
        <w:t>２７</w:t>
      </w:r>
      <w:r>
        <w:rPr>
          <w:rFonts w:hint="eastAsia"/>
          <w:snapToGrid w:val="0"/>
        </w:rPr>
        <w:t>条の</w:t>
      </w:r>
      <w:r w:rsidR="007F0CCD">
        <w:rPr>
          <w:snapToGrid w:val="0"/>
        </w:rPr>
        <w:t>３１</w:t>
      </w:r>
      <w:r>
        <w:rPr>
          <w:rFonts w:hint="eastAsia"/>
          <w:snapToGrid w:val="0"/>
        </w:rPr>
        <w:t>第</w:t>
      </w:r>
      <w:r w:rsidR="007F0CCD">
        <w:rPr>
          <w:rFonts w:hint="eastAsia"/>
          <w:snapToGrid w:val="0"/>
        </w:rPr>
        <w:t>１</w:t>
      </w:r>
      <w:r>
        <w:rPr>
          <w:rFonts w:hint="eastAsia"/>
          <w:snapToGrid w:val="0"/>
        </w:rPr>
        <w:t>項に規定する特定証券情報の内容を構成する。</w:t>
      </w:r>
    </w:p>
    <w:p w:rsidR="007B5D24" w:rsidRDefault="007B5D24">
      <w:pPr>
        <w:ind w:left="420" w:hanging="210"/>
        <w:rPr>
          <w:snapToGrid w:val="0"/>
        </w:rPr>
      </w:pPr>
      <w:r>
        <w:rPr>
          <w:snapToGrid w:val="0"/>
        </w:rPr>
        <w:t>(</w:t>
      </w:r>
      <w:r w:rsidR="007F0CCD">
        <w:rPr>
          <w:rFonts w:hint="eastAsia"/>
          <w:snapToGrid w:val="0"/>
        </w:rPr>
        <w:t>２</w:t>
      </w:r>
      <w:r>
        <w:rPr>
          <w:snapToGrid w:val="0"/>
        </w:rPr>
        <w:t>)</w:t>
      </w:r>
      <w:r>
        <w:rPr>
          <w:rFonts w:hint="eastAsia"/>
          <w:snapToGrid w:val="0"/>
        </w:rPr>
        <w:t xml:space="preserve">　発行予定期間</w:t>
      </w:r>
    </w:p>
    <w:p w:rsidR="007B5D24" w:rsidRDefault="007B5D24">
      <w:pPr>
        <w:ind w:left="420" w:firstLine="210"/>
        <w:rPr>
          <w:snapToGrid w:val="0"/>
        </w:rPr>
      </w:pPr>
      <w:r>
        <w:rPr>
          <w:rFonts w:hint="eastAsia"/>
          <w:snapToGrid w:val="0"/>
        </w:rPr>
        <w:t>発行予定期間は</w:t>
      </w:r>
      <w:r w:rsidR="007F0CCD">
        <w:rPr>
          <w:rFonts w:hint="eastAsia"/>
          <w:snapToGrid w:val="0"/>
        </w:rPr>
        <w:t>１</w:t>
      </w:r>
      <w:r>
        <w:rPr>
          <w:rFonts w:hint="eastAsia"/>
          <w:snapToGrid w:val="0"/>
        </w:rPr>
        <w:t>年間とする。</w:t>
      </w:r>
    </w:p>
    <w:p w:rsidR="007B5D24" w:rsidRDefault="007B5D24">
      <w:pPr>
        <w:ind w:left="420" w:hanging="210"/>
        <w:rPr>
          <w:snapToGrid w:val="0"/>
        </w:rPr>
      </w:pPr>
      <w:r>
        <w:rPr>
          <w:snapToGrid w:val="0"/>
        </w:rPr>
        <w:t>(</w:t>
      </w:r>
      <w:r w:rsidR="007F0CCD">
        <w:rPr>
          <w:rFonts w:hint="eastAsia"/>
          <w:snapToGrid w:val="0"/>
        </w:rPr>
        <w:t>３</w:t>
      </w:r>
      <w:r>
        <w:rPr>
          <w:snapToGrid w:val="0"/>
        </w:rPr>
        <w:t>)</w:t>
      </w:r>
      <w:r>
        <w:rPr>
          <w:rFonts w:hint="eastAsia"/>
          <w:snapToGrid w:val="0"/>
        </w:rPr>
        <w:t xml:space="preserve">　発行残高の上限</w:t>
      </w:r>
    </w:p>
    <w:p w:rsidR="007B5D24" w:rsidRDefault="007B5D24">
      <w:pPr>
        <w:overflowPunct w:val="0"/>
        <w:ind w:left="420" w:firstLine="210"/>
        <w:rPr>
          <w:snapToGrid w:val="0"/>
        </w:rPr>
      </w:pPr>
      <w:r>
        <w:rPr>
          <w:rFonts w:hint="eastAsia"/>
          <w:snapToGrid w:val="0"/>
        </w:rPr>
        <w:t>プログラム情報による特定投資家向け取得勧誘又は特定投資家向け売付け勧誘等を予定している有価証券の発行価額又は売付け価額（プログラムの更新の場合には、更新前のプログラム情報による有価証券の発行価額又は売付け価額を含む。）について、発行残高の上限の金額を記載すること。なお、プログラムの更新とは、プログラム上場を行った者が、有価証券の種類の変更を伴うことなく、当該プログラム上場に係るプログラム情報に記載された発行予定期間の末日の翌日から発行予定期間が開始するプログラム情報を新たに提出する場合をいう。</w:t>
      </w:r>
    </w:p>
    <w:p w:rsidR="007B5D24" w:rsidRDefault="007B5D24">
      <w:pPr>
        <w:ind w:left="420" w:hanging="210"/>
        <w:rPr>
          <w:snapToGrid w:val="0"/>
        </w:rPr>
      </w:pPr>
      <w:r>
        <w:rPr>
          <w:snapToGrid w:val="0"/>
        </w:rPr>
        <w:t>(</w:t>
      </w:r>
      <w:r w:rsidR="007F0CCD">
        <w:rPr>
          <w:rFonts w:hint="eastAsia"/>
          <w:snapToGrid w:val="0"/>
        </w:rPr>
        <w:t>４</w:t>
      </w:r>
      <w:r>
        <w:rPr>
          <w:snapToGrid w:val="0"/>
        </w:rPr>
        <w:t>)</w:t>
      </w:r>
      <w:r>
        <w:rPr>
          <w:rFonts w:hint="eastAsia"/>
          <w:snapToGrid w:val="0"/>
        </w:rPr>
        <w:t xml:space="preserve">　有価証券報告書又は発行者情報の提出状況</w:t>
      </w:r>
    </w:p>
    <w:p w:rsidR="007B5D24" w:rsidRDefault="007B5D24">
      <w:pPr>
        <w:ind w:left="420" w:firstLine="210"/>
        <w:rPr>
          <w:snapToGrid w:val="0"/>
        </w:rPr>
      </w:pPr>
      <w:r>
        <w:rPr>
          <w:rFonts w:hint="eastAsia"/>
          <w:snapToGrid w:val="0"/>
        </w:rPr>
        <w:t>既に</w:t>
      </w:r>
      <w:r w:rsidR="007F0CCD">
        <w:rPr>
          <w:rFonts w:hint="eastAsia"/>
          <w:snapToGrid w:val="0"/>
        </w:rPr>
        <w:t>１</w:t>
      </w:r>
      <w:r>
        <w:rPr>
          <w:rFonts w:hint="eastAsia"/>
          <w:snapToGrid w:val="0"/>
        </w:rPr>
        <w:t>年間継続して有価証券報告書又は発行者情報を公表している発行者は、その旨を記載すること。この場合においては、本様式第二部の記載を省略することができる。</w:t>
      </w:r>
    </w:p>
    <w:p w:rsidR="007B5D24" w:rsidRDefault="007B5D24">
      <w:pPr>
        <w:ind w:left="420" w:hanging="210"/>
        <w:rPr>
          <w:snapToGrid w:val="0"/>
        </w:rPr>
      </w:pPr>
      <w:r>
        <w:rPr>
          <w:snapToGrid w:val="0"/>
        </w:rPr>
        <w:t>(</w:t>
      </w:r>
      <w:r w:rsidR="007F0CCD">
        <w:rPr>
          <w:rFonts w:hint="eastAsia"/>
          <w:snapToGrid w:val="0"/>
        </w:rPr>
        <w:t>５</w:t>
      </w:r>
      <w:r>
        <w:rPr>
          <w:snapToGrid w:val="0"/>
        </w:rPr>
        <w:t>)</w:t>
      </w:r>
      <w:r>
        <w:rPr>
          <w:rFonts w:hint="eastAsia"/>
          <w:snapToGrid w:val="0"/>
        </w:rPr>
        <w:t xml:space="preserve">　証券情報</w:t>
      </w:r>
    </w:p>
    <w:p w:rsidR="007B5D24" w:rsidRDefault="007B5D24">
      <w:pPr>
        <w:ind w:left="420" w:firstLine="210"/>
        <w:rPr>
          <w:snapToGrid w:val="0"/>
        </w:rPr>
      </w:pPr>
      <w:r>
        <w:rPr>
          <w:rFonts w:hint="eastAsia"/>
          <w:snapToGrid w:val="0"/>
        </w:rPr>
        <w:t>当該有価証券について引受けを予定する金融商品取引業者のうち主たるものの名称を除いては、記載事項の全部又は一部の記載を省略することができる。元引受契約を締結する金融商品取引業者のうち主たるものが決定していない場合には、元引受契約を締結する予定の金融商品取引業者のうち主たるものを記載すること。</w:t>
      </w:r>
    </w:p>
    <w:p w:rsidR="007B5D24" w:rsidRDefault="007B5D24">
      <w:pPr>
        <w:ind w:left="420" w:hanging="210"/>
        <w:rPr>
          <w:snapToGrid w:val="0"/>
        </w:rPr>
      </w:pPr>
      <w:r>
        <w:rPr>
          <w:snapToGrid w:val="0"/>
        </w:rPr>
        <w:t>(</w:t>
      </w:r>
      <w:r w:rsidR="007F0CCD">
        <w:rPr>
          <w:rFonts w:hint="eastAsia"/>
          <w:snapToGrid w:val="0"/>
        </w:rPr>
        <w:t>６</w:t>
      </w:r>
      <w:r>
        <w:rPr>
          <w:snapToGrid w:val="0"/>
        </w:rPr>
        <w:t>)</w:t>
      </w:r>
      <w:r>
        <w:rPr>
          <w:rFonts w:hint="eastAsia"/>
          <w:snapToGrid w:val="0"/>
        </w:rPr>
        <w:t xml:space="preserve">　当該有価証券以外の有価証券に関する事項</w:t>
      </w:r>
    </w:p>
    <w:p w:rsidR="007B5D24" w:rsidRDefault="007B5D24">
      <w:pPr>
        <w:overflowPunct w:val="0"/>
        <w:ind w:left="420" w:firstLine="210"/>
        <w:rPr>
          <w:snapToGrid w:val="0"/>
        </w:rPr>
      </w:pPr>
      <w:r>
        <w:rPr>
          <w:rFonts w:hint="eastAsia"/>
          <w:snapToGrid w:val="0"/>
          <w:lang w:val="en-GB"/>
        </w:rPr>
        <w:t>法第</w:t>
      </w:r>
      <w:r w:rsidR="007F0CCD">
        <w:rPr>
          <w:rFonts w:hint="eastAsia"/>
          <w:snapToGrid w:val="0"/>
          <w:lang w:val="en-GB"/>
        </w:rPr>
        <w:t>３</w:t>
      </w:r>
      <w:r>
        <w:rPr>
          <w:rFonts w:hint="eastAsia"/>
          <w:snapToGrid w:val="0"/>
          <w:lang w:val="en-GB"/>
        </w:rPr>
        <w:t>条各号に掲げる有価証券に関するプログラム情報を提出する場合にお</w:t>
      </w:r>
      <w:r>
        <w:rPr>
          <w:rFonts w:hint="eastAsia"/>
          <w:snapToGrid w:val="0"/>
        </w:rPr>
        <w:t>いては、本様式第三部の記載を省略することができる。</w:t>
      </w:r>
    </w:p>
    <w:p w:rsidR="007B5D24" w:rsidRDefault="007B5D24">
      <w:pPr>
        <w:ind w:left="420" w:hanging="210"/>
        <w:rPr>
          <w:snapToGrid w:val="0"/>
        </w:rPr>
      </w:pPr>
      <w:r>
        <w:rPr>
          <w:snapToGrid w:val="0"/>
        </w:rPr>
        <w:t>(</w:t>
      </w:r>
      <w:r w:rsidR="007F0CCD">
        <w:rPr>
          <w:rFonts w:hint="eastAsia"/>
          <w:snapToGrid w:val="0"/>
        </w:rPr>
        <w:t>７</w:t>
      </w:r>
      <w:r>
        <w:rPr>
          <w:snapToGrid w:val="0"/>
        </w:rPr>
        <w:t>)</w:t>
      </w:r>
      <w:r>
        <w:rPr>
          <w:rFonts w:hint="eastAsia"/>
          <w:snapToGrid w:val="0"/>
        </w:rPr>
        <w:t xml:space="preserve">　マルチイッシュアーの場合の特例</w:t>
      </w:r>
    </w:p>
    <w:p w:rsidR="007B5D24" w:rsidRDefault="007B5D24">
      <w:pPr>
        <w:ind w:left="420" w:firstLine="210"/>
        <w:rPr>
          <w:snapToGrid w:val="0"/>
        </w:rPr>
      </w:pPr>
      <w:r>
        <w:rPr>
          <w:rFonts w:hint="eastAsia"/>
          <w:snapToGrid w:val="0"/>
        </w:rPr>
        <w:t>特例第</w:t>
      </w:r>
      <w:r w:rsidR="007F0CCD">
        <w:rPr>
          <w:snapToGrid w:val="0"/>
        </w:rPr>
        <w:t>２０６</w:t>
      </w:r>
      <w:r>
        <w:rPr>
          <w:rFonts w:hint="eastAsia"/>
          <w:snapToGrid w:val="0"/>
        </w:rPr>
        <w:t>条第</w:t>
      </w:r>
      <w:r w:rsidR="007F0CCD">
        <w:rPr>
          <w:rFonts w:hint="eastAsia"/>
          <w:snapToGrid w:val="0"/>
        </w:rPr>
        <w:t>５</w:t>
      </w:r>
      <w:r>
        <w:rPr>
          <w:rFonts w:hint="eastAsia"/>
          <w:snapToGrid w:val="0"/>
        </w:rPr>
        <w:t>項の規定に基づき複数の者が共同してプログラム情報を提出する場合においては、【発行者の名称】から【事務連絡者氏名】までについては、当該複数の者すべてについてそれぞれ記載するものとし、【発行残高の上限】に記載する金額は、発行予定期間における当該複数の者の合計の発行残高の上限を記載するものとする。また、第二部【企業情報】第</w:t>
      </w:r>
      <w:r w:rsidR="007F0CCD">
        <w:rPr>
          <w:rFonts w:hint="eastAsia"/>
          <w:snapToGrid w:val="0"/>
        </w:rPr>
        <w:t>２</w:t>
      </w:r>
      <w:r>
        <w:rPr>
          <w:rFonts w:hint="eastAsia"/>
          <w:snapToGrid w:val="0"/>
        </w:rPr>
        <w:t>【経理の状況】の末尾に、当該複数の者の財務諸表等を記載するものとする。</w:t>
      </w:r>
    </w:p>
    <w:sectPr w:rsidR="007B5D24" w:rsidSect="00F95C15">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1134" w:right="998" w:bottom="1134" w:left="998" w:header="301" w:footer="992" w:gutter="0"/>
      <w:cols w:space="425"/>
      <w:docGrid w:type="linesAndChars" w:linePitch="380" w:charSpace="11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155C" w:rsidRDefault="002E155C">
      <w:r>
        <w:separator/>
      </w:r>
    </w:p>
  </w:endnote>
  <w:endnote w:type="continuationSeparator" w:id="0">
    <w:p w:rsidR="002E155C" w:rsidRDefault="002E1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750" w:rsidRDefault="00387750">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750" w:rsidRDefault="00387750">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750" w:rsidRDefault="0038775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155C" w:rsidRDefault="002E155C">
      <w:r>
        <w:separator/>
      </w:r>
    </w:p>
  </w:footnote>
  <w:footnote w:type="continuationSeparator" w:id="0">
    <w:p w:rsidR="002E155C" w:rsidRDefault="002E15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750" w:rsidRDefault="00387750">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750" w:rsidRDefault="00387750">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750" w:rsidRDefault="0038775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proofState w:spelling="clean" w:grammar="dirty"/>
  <w:defaultTabStop w:val="958"/>
  <w:doNotHyphenateCaps/>
  <w:drawingGridHorizontalSpacing w:val="210"/>
  <w:drawingGridVerticalSpacing w:val="210"/>
  <w:displayHorizontalDrawingGridEvery w:val="2"/>
  <w:characterSpacingControl w:val="doNotCompress"/>
  <w:noLineBreaksAfter w:lang="ja-JP" w:val="$([\{‘“〈《「『【〔＄（［｛｢￡￥"/>
  <w:noLineBreaksBefore w:lang="ja-JP" w:val="!%),.:;?]}°’”‰′″℃、。々〉》」』】〕゛゜ゝゞ・ヽヾ！％），．：；？］｝｡｣､･ﾞﾟ￠"/>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AC0E5E"/>
    <w:rsid w:val="00220129"/>
    <w:rsid w:val="00266F50"/>
    <w:rsid w:val="002E155C"/>
    <w:rsid w:val="00387750"/>
    <w:rsid w:val="004436BA"/>
    <w:rsid w:val="0076556D"/>
    <w:rsid w:val="00781C5D"/>
    <w:rsid w:val="007B5D24"/>
    <w:rsid w:val="007F0CCD"/>
    <w:rsid w:val="00986BC7"/>
    <w:rsid w:val="00AC0E5E"/>
    <w:rsid w:val="00C56CF5"/>
    <w:rsid w:val="00F95C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link w:val="a3"/>
    <w:uiPriority w:val="99"/>
    <w:locked/>
    <w:rPr>
      <w:rFonts w:cs="Times New Roman"/>
    </w:rPr>
  </w:style>
  <w:style w:type="paragraph" w:styleId="a5">
    <w:name w:val="footer"/>
    <w:basedOn w:val="a"/>
    <w:link w:val="a6"/>
    <w:uiPriority w:val="99"/>
    <w:pPr>
      <w:tabs>
        <w:tab w:val="center" w:pos="4252"/>
        <w:tab w:val="right" w:pos="8504"/>
      </w:tabs>
    </w:pPr>
  </w:style>
  <w:style w:type="character" w:customStyle="1" w:styleId="a6">
    <w:name w:val="フッター (文字)"/>
    <w:link w:val="a5"/>
    <w:uiPriority w:val="99"/>
    <w:locked/>
    <w:rPr>
      <w:rFonts w:cs="Times New Roman"/>
    </w:rPr>
  </w:style>
  <w:style w:type="character" w:styleId="a7">
    <w:name w:val="page number"/>
    <w:uiPriority w:val="99"/>
    <w:rPr>
      <w:rFonts w:cs="Times New Roman"/>
    </w:rPr>
  </w:style>
  <w:style w:type="paragraph" w:styleId="a8">
    <w:name w:val="Revision"/>
    <w:hidden/>
    <w:uiPriority w:val="99"/>
    <w:rPr>
      <w:rFonts w:cs="ＭＳ 明朝"/>
      <w:kern w:val="2"/>
      <w:sz w:val="21"/>
      <w:szCs w:val="21"/>
    </w:rPr>
  </w:style>
  <w:style w:type="paragraph" w:styleId="a9">
    <w:name w:val="Balloon Text"/>
    <w:basedOn w:val="a"/>
    <w:link w:val="aa"/>
    <w:uiPriority w:val="99"/>
    <w:pPr>
      <w:wordWrap/>
      <w:autoSpaceDE/>
      <w:autoSpaceDN/>
      <w:adjustRightInd/>
      <w:snapToGrid/>
      <w:textAlignment w:val="auto"/>
    </w:pPr>
    <w:rPr>
      <w:rFonts w:ascii="Arial" w:eastAsia="ＭＳ ゴシック" w:hAnsi="Arial" w:cs="ＭＳ ゴシック"/>
      <w:sz w:val="18"/>
      <w:szCs w:val="18"/>
    </w:rPr>
  </w:style>
  <w:style w:type="character" w:customStyle="1" w:styleId="aa">
    <w:name w:val="吹き出し (文字)"/>
    <w:link w:val="a9"/>
    <w:uiPriority w:val="99"/>
    <w:locked/>
    <w:rPr>
      <w:rFonts w:ascii="Arial" w:eastAsia="ＭＳ ゴシック" w:hAnsi="Arial" w:cs="ＭＳ ゴシック"/>
      <w:kern w:val="2"/>
      <w:sz w:val="18"/>
      <w:szCs w:val="18"/>
    </w:rPr>
  </w:style>
  <w:style w:type="character" w:styleId="ab">
    <w:name w:val="annotation reference"/>
    <w:uiPriority w:val="99"/>
    <w:rPr>
      <w:rFonts w:cs="Times New Roman"/>
      <w:sz w:val="18"/>
      <w:szCs w:val="18"/>
    </w:rPr>
  </w:style>
  <w:style w:type="paragraph" w:styleId="ac">
    <w:name w:val="annotation text"/>
    <w:basedOn w:val="a"/>
    <w:link w:val="ad"/>
    <w:uiPriority w:val="99"/>
    <w:pPr>
      <w:wordWrap/>
      <w:autoSpaceDE/>
      <w:autoSpaceDN/>
      <w:adjustRightInd/>
      <w:snapToGrid/>
      <w:jc w:val="left"/>
      <w:textAlignment w:val="auto"/>
    </w:pPr>
    <w:rPr>
      <w:rFonts w:ascii="Century"/>
    </w:rPr>
  </w:style>
  <w:style w:type="character" w:customStyle="1" w:styleId="ad">
    <w:name w:val="コメント文字列 (文字)"/>
    <w:link w:val="ac"/>
    <w:uiPriority w:val="99"/>
    <w:locked/>
    <w:rPr>
      <w:rFonts w:cs="Times New Roman"/>
      <w:kern w:val="2"/>
      <w:sz w:val="21"/>
      <w:szCs w:val="21"/>
    </w:rPr>
  </w:style>
  <w:style w:type="paragraph" w:styleId="ae">
    <w:name w:val="annotation subject"/>
    <w:basedOn w:val="ac"/>
    <w:next w:val="ac"/>
    <w:link w:val="af"/>
    <w:uiPriority w:val="99"/>
    <w:rPr>
      <w:b/>
      <w:bCs/>
    </w:rPr>
  </w:style>
  <w:style w:type="character" w:customStyle="1" w:styleId="af">
    <w:name w:val="コメント内容 (文字)"/>
    <w:link w:val="ae"/>
    <w:uiPriority w:val="99"/>
    <w:locked/>
    <w:rPr>
      <w:rFonts w:cs="Times New Roman"/>
      <w:b/>
      <w:bCs/>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link w:val="a3"/>
    <w:uiPriority w:val="99"/>
    <w:locked/>
    <w:rPr>
      <w:rFonts w:cs="Times New Roman"/>
    </w:rPr>
  </w:style>
  <w:style w:type="paragraph" w:styleId="a5">
    <w:name w:val="footer"/>
    <w:basedOn w:val="a"/>
    <w:link w:val="a6"/>
    <w:uiPriority w:val="99"/>
    <w:pPr>
      <w:tabs>
        <w:tab w:val="center" w:pos="4252"/>
        <w:tab w:val="right" w:pos="8504"/>
      </w:tabs>
    </w:pPr>
  </w:style>
  <w:style w:type="character" w:customStyle="1" w:styleId="a6">
    <w:name w:val="フッター (文字)"/>
    <w:link w:val="a5"/>
    <w:uiPriority w:val="99"/>
    <w:locked/>
    <w:rPr>
      <w:rFonts w:cs="Times New Roman"/>
    </w:rPr>
  </w:style>
  <w:style w:type="character" w:styleId="a7">
    <w:name w:val="page number"/>
    <w:uiPriority w:val="99"/>
    <w:rPr>
      <w:rFonts w:cs="Times New Roman"/>
    </w:rPr>
  </w:style>
  <w:style w:type="paragraph" w:styleId="a8">
    <w:name w:val="Revision"/>
    <w:hidden/>
    <w:uiPriority w:val="99"/>
    <w:rPr>
      <w:rFonts w:cs="ＭＳ 明朝"/>
      <w:kern w:val="2"/>
      <w:sz w:val="21"/>
      <w:szCs w:val="21"/>
    </w:rPr>
  </w:style>
  <w:style w:type="paragraph" w:styleId="a9">
    <w:name w:val="Balloon Text"/>
    <w:basedOn w:val="a"/>
    <w:link w:val="aa"/>
    <w:uiPriority w:val="99"/>
    <w:pPr>
      <w:wordWrap/>
      <w:autoSpaceDE/>
      <w:autoSpaceDN/>
      <w:adjustRightInd/>
      <w:snapToGrid/>
      <w:textAlignment w:val="auto"/>
    </w:pPr>
    <w:rPr>
      <w:rFonts w:ascii="Arial" w:eastAsia="ＭＳ ゴシック" w:hAnsi="Arial" w:cs="ＭＳ ゴシック"/>
      <w:sz w:val="18"/>
      <w:szCs w:val="18"/>
    </w:rPr>
  </w:style>
  <w:style w:type="character" w:customStyle="1" w:styleId="aa">
    <w:name w:val="吹き出し (文字)"/>
    <w:link w:val="a9"/>
    <w:uiPriority w:val="99"/>
    <w:locked/>
    <w:rPr>
      <w:rFonts w:ascii="Arial" w:eastAsia="ＭＳ ゴシック" w:hAnsi="Arial" w:cs="ＭＳ ゴシック"/>
      <w:kern w:val="2"/>
      <w:sz w:val="18"/>
      <w:szCs w:val="18"/>
    </w:rPr>
  </w:style>
  <w:style w:type="character" w:styleId="ab">
    <w:name w:val="annotation reference"/>
    <w:uiPriority w:val="99"/>
    <w:rPr>
      <w:rFonts w:cs="Times New Roman"/>
      <w:sz w:val="18"/>
      <w:szCs w:val="18"/>
    </w:rPr>
  </w:style>
  <w:style w:type="paragraph" w:styleId="ac">
    <w:name w:val="annotation text"/>
    <w:basedOn w:val="a"/>
    <w:link w:val="ad"/>
    <w:uiPriority w:val="99"/>
    <w:pPr>
      <w:wordWrap/>
      <w:autoSpaceDE/>
      <w:autoSpaceDN/>
      <w:adjustRightInd/>
      <w:snapToGrid/>
      <w:jc w:val="left"/>
      <w:textAlignment w:val="auto"/>
    </w:pPr>
    <w:rPr>
      <w:rFonts w:ascii="Century"/>
    </w:rPr>
  </w:style>
  <w:style w:type="character" w:customStyle="1" w:styleId="ad">
    <w:name w:val="コメント文字列 (文字)"/>
    <w:link w:val="ac"/>
    <w:uiPriority w:val="99"/>
    <w:locked/>
    <w:rPr>
      <w:rFonts w:cs="Times New Roman"/>
      <w:kern w:val="2"/>
      <w:sz w:val="21"/>
      <w:szCs w:val="21"/>
    </w:rPr>
  </w:style>
  <w:style w:type="paragraph" w:styleId="ae">
    <w:name w:val="annotation subject"/>
    <w:basedOn w:val="ac"/>
    <w:next w:val="ac"/>
    <w:link w:val="af"/>
    <w:uiPriority w:val="99"/>
    <w:rPr>
      <w:b/>
      <w:bCs/>
    </w:rPr>
  </w:style>
  <w:style w:type="character" w:customStyle="1" w:styleId="af">
    <w:name w:val="コメント内容 (文字)"/>
    <w:link w:val="ae"/>
    <w:uiPriority w:val="99"/>
    <w:locked/>
    <w:rPr>
      <w:rFonts w:cs="Times New Roman"/>
      <w:b/>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453</Words>
  <Characters>2584</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2016-07-12T03:52:00Z</dcterms:created>
  <dcterms:modified xsi:type="dcterms:W3CDTF">2016-07-12T03:52:00Z</dcterms:modified>
</cp:coreProperties>
</file>