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FBD72C" w14:textId="427B7820" w:rsidR="00BA5842" w:rsidRPr="00503712" w:rsidRDefault="0087117C" w:rsidP="008B0B68">
      <w:pPr>
        <w:jc w:val="center"/>
        <w:rPr>
          <w:rFonts w:ascii="Calibri" w:hAnsi="Calibri" w:cs="Calibri"/>
          <w:b/>
          <w:bCs/>
          <w:sz w:val="24"/>
          <w:szCs w:val="28"/>
        </w:rPr>
      </w:pPr>
      <w:bookmarkStart w:id="0" w:name="_GoBack"/>
      <w:bookmarkEnd w:id="0"/>
      <w:r w:rsidRPr="00503712">
        <w:rPr>
          <w:rFonts w:ascii="Calibri" w:hAnsi="Calibri" w:cs="Calibri"/>
          <w:b/>
          <w:bCs/>
          <w:sz w:val="24"/>
          <w:szCs w:val="28"/>
        </w:rPr>
        <w:t>Customer Protections</w:t>
      </w:r>
      <w:r w:rsidR="004A7779" w:rsidRPr="00503712">
        <w:rPr>
          <w:rFonts w:ascii="Calibri" w:hAnsi="Calibri" w:cs="Calibri"/>
          <w:b/>
          <w:bCs/>
          <w:sz w:val="24"/>
          <w:szCs w:val="28"/>
        </w:rPr>
        <w:t xml:space="preserve"> for Cleared Interest Rate Swap Trades</w:t>
      </w:r>
      <w:r w:rsidR="00BE2F98">
        <w:rPr>
          <w:rFonts w:ascii="Calibri" w:hAnsi="Calibri" w:cs="Calibri" w:hint="eastAsia"/>
          <w:b/>
          <w:bCs/>
          <w:sz w:val="24"/>
          <w:szCs w:val="28"/>
        </w:rPr>
        <w:t xml:space="preserve"> under Trust Arrangement</w:t>
      </w:r>
      <w:r w:rsidRPr="00503712">
        <w:rPr>
          <w:rFonts w:ascii="Calibri" w:hAnsi="Calibri" w:cs="Calibri"/>
          <w:b/>
          <w:bCs/>
          <w:sz w:val="24"/>
          <w:szCs w:val="28"/>
        </w:rPr>
        <w:t xml:space="preserve"> (</w:t>
      </w:r>
      <w:r w:rsidR="00681316" w:rsidRPr="00503712">
        <w:rPr>
          <w:rFonts w:ascii="Calibri" w:hAnsi="Calibri" w:cs="Calibri"/>
          <w:b/>
          <w:bCs/>
          <w:sz w:val="24"/>
          <w:szCs w:val="28"/>
        </w:rPr>
        <w:t>C</w:t>
      </w:r>
      <w:r w:rsidRPr="00503712">
        <w:rPr>
          <w:rFonts w:ascii="Calibri" w:hAnsi="Calibri" w:cs="Calibri"/>
          <w:b/>
          <w:bCs/>
          <w:sz w:val="24"/>
          <w:szCs w:val="28"/>
        </w:rPr>
        <w:t xml:space="preserve">omparison between </w:t>
      </w:r>
      <w:r w:rsidR="00B604A4" w:rsidRPr="00503712">
        <w:rPr>
          <w:rFonts w:ascii="Calibri" w:hAnsi="Calibri" w:cs="Calibri"/>
          <w:b/>
          <w:bCs/>
          <w:sz w:val="24"/>
          <w:szCs w:val="28"/>
        </w:rPr>
        <w:t>JSCC rules</w:t>
      </w:r>
      <w:r w:rsidRPr="00503712">
        <w:rPr>
          <w:rFonts w:ascii="Calibri" w:hAnsi="Calibri" w:cs="Calibri"/>
          <w:b/>
          <w:bCs/>
          <w:sz w:val="24"/>
          <w:szCs w:val="28"/>
        </w:rPr>
        <w:t xml:space="preserve"> and </w:t>
      </w:r>
      <w:r w:rsidR="00B604A4" w:rsidRPr="00503712">
        <w:rPr>
          <w:rFonts w:ascii="Calibri" w:hAnsi="Calibri" w:cs="Calibri"/>
          <w:b/>
          <w:bCs/>
          <w:sz w:val="24"/>
          <w:szCs w:val="28"/>
        </w:rPr>
        <w:t>CFTC regulations</w:t>
      </w:r>
      <w:r w:rsidRPr="00503712">
        <w:rPr>
          <w:rFonts w:ascii="Calibri" w:hAnsi="Calibri" w:cs="Calibri"/>
          <w:b/>
          <w:bCs/>
          <w:sz w:val="24"/>
          <w:szCs w:val="28"/>
        </w:rPr>
        <w:t>)</w:t>
      </w:r>
    </w:p>
    <w:p w14:paraId="027A8EED" w14:textId="77777777" w:rsidR="0087117C" w:rsidRPr="00503712" w:rsidRDefault="0087117C" w:rsidP="00101FD8">
      <w:pPr>
        <w:jc w:val="left"/>
        <w:rPr>
          <w:rFonts w:ascii="Calibri" w:hAnsi="Calibri" w:cs="Calibri"/>
        </w:rPr>
      </w:pPr>
    </w:p>
    <w:tbl>
      <w:tblPr>
        <w:tblStyle w:val="a4"/>
        <w:tblW w:w="15735" w:type="dxa"/>
        <w:tblLook w:val="04A0" w:firstRow="1" w:lastRow="0" w:firstColumn="1" w:lastColumn="0" w:noHBand="0" w:noVBand="1"/>
      </w:tblPr>
      <w:tblGrid>
        <w:gridCol w:w="376"/>
        <w:gridCol w:w="1261"/>
        <w:gridCol w:w="6134"/>
        <w:gridCol w:w="1529"/>
        <w:gridCol w:w="4580"/>
        <w:gridCol w:w="1855"/>
      </w:tblGrid>
      <w:tr w:rsidR="0014146E" w:rsidRPr="00503712" w14:paraId="7DF43296" w14:textId="53787B5F" w:rsidTr="00503712">
        <w:trPr>
          <w:tblHeader/>
        </w:trPr>
        <w:tc>
          <w:tcPr>
            <w:tcW w:w="1637" w:type="dxa"/>
            <w:gridSpan w:val="2"/>
            <w:shd w:val="clear" w:color="auto" w:fill="BFBFBF" w:themeFill="background1" w:themeFillShade="BF"/>
          </w:tcPr>
          <w:p w14:paraId="32C9C8B4" w14:textId="77777777" w:rsidR="00172F38" w:rsidRPr="00503712" w:rsidRDefault="00172F38" w:rsidP="00101FD8">
            <w:pPr>
              <w:jc w:val="left"/>
              <w:rPr>
                <w:rFonts w:ascii="Calibri" w:hAnsi="Calibri" w:cs="Calibri"/>
              </w:rPr>
            </w:pPr>
          </w:p>
        </w:tc>
        <w:tc>
          <w:tcPr>
            <w:tcW w:w="7663" w:type="dxa"/>
            <w:gridSpan w:val="2"/>
            <w:shd w:val="clear" w:color="auto" w:fill="BFBFBF" w:themeFill="background1" w:themeFillShade="BF"/>
          </w:tcPr>
          <w:p w14:paraId="02257A7D" w14:textId="77777777" w:rsidR="00172F38" w:rsidRPr="00503712" w:rsidRDefault="00172F38" w:rsidP="00101FD8">
            <w:pPr>
              <w:jc w:val="center"/>
              <w:rPr>
                <w:rFonts w:ascii="Calibri" w:hAnsi="Calibri" w:cs="Calibri"/>
                <w:b/>
                <w:bCs/>
              </w:rPr>
            </w:pPr>
            <w:r w:rsidRPr="00503712">
              <w:rPr>
                <w:rFonts w:ascii="Calibri" w:hAnsi="Calibri" w:cs="Calibri"/>
                <w:b/>
                <w:bCs/>
              </w:rPr>
              <w:t>JSCC</w:t>
            </w:r>
          </w:p>
        </w:tc>
        <w:tc>
          <w:tcPr>
            <w:tcW w:w="4580" w:type="dxa"/>
            <w:shd w:val="clear" w:color="auto" w:fill="BFBFBF" w:themeFill="background1" w:themeFillShade="BF"/>
          </w:tcPr>
          <w:p w14:paraId="72D8B066" w14:textId="77777777" w:rsidR="00172F38" w:rsidRPr="00503712" w:rsidRDefault="00172F38" w:rsidP="00101FD8">
            <w:pPr>
              <w:jc w:val="center"/>
              <w:rPr>
                <w:rFonts w:ascii="Calibri" w:hAnsi="Calibri" w:cs="Calibri"/>
                <w:b/>
                <w:bCs/>
              </w:rPr>
            </w:pPr>
            <w:r w:rsidRPr="00503712">
              <w:rPr>
                <w:rFonts w:ascii="Calibri" w:hAnsi="Calibri" w:cs="Calibri"/>
                <w:b/>
                <w:bCs/>
              </w:rPr>
              <w:t>CFTC</w:t>
            </w:r>
          </w:p>
        </w:tc>
        <w:tc>
          <w:tcPr>
            <w:tcW w:w="1855" w:type="dxa"/>
            <w:shd w:val="clear" w:color="auto" w:fill="BFBFBF" w:themeFill="background1" w:themeFillShade="BF"/>
          </w:tcPr>
          <w:p w14:paraId="5021D1CA" w14:textId="77777777" w:rsidR="00172F38" w:rsidRPr="00503712" w:rsidRDefault="00172F38" w:rsidP="00101FD8">
            <w:pPr>
              <w:jc w:val="left"/>
              <w:rPr>
                <w:rFonts w:ascii="Calibri" w:hAnsi="Calibri" w:cs="Calibri"/>
              </w:rPr>
            </w:pPr>
          </w:p>
        </w:tc>
      </w:tr>
      <w:tr w:rsidR="001B7804" w:rsidRPr="00503712" w14:paraId="34AB79E8" w14:textId="3C7A09E6" w:rsidTr="001B7804">
        <w:tc>
          <w:tcPr>
            <w:tcW w:w="376" w:type="dxa"/>
          </w:tcPr>
          <w:p w14:paraId="1C45AD3D" w14:textId="77777777" w:rsidR="001B7804" w:rsidRPr="00503712" w:rsidRDefault="001B7804" w:rsidP="00101FD8">
            <w:pPr>
              <w:jc w:val="left"/>
              <w:rPr>
                <w:rFonts w:ascii="Calibri" w:hAnsi="Calibri" w:cs="Calibri"/>
              </w:rPr>
            </w:pPr>
            <w:r w:rsidRPr="00503712">
              <w:rPr>
                <w:rFonts w:ascii="Calibri" w:hAnsi="Calibri" w:cs="Calibri"/>
              </w:rPr>
              <w:t>1</w:t>
            </w:r>
          </w:p>
        </w:tc>
        <w:tc>
          <w:tcPr>
            <w:tcW w:w="1261" w:type="dxa"/>
          </w:tcPr>
          <w:p w14:paraId="3813C3AB" w14:textId="06DB9C71" w:rsidR="001B7804" w:rsidRPr="00503712" w:rsidRDefault="001B7804" w:rsidP="00101FD8">
            <w:pPr>
              <w:jc w:val="left"/>
              <w:rPr>
                <w:rFonts w:ascii="Calibri" w:hAnsi="Calibri" w:cs="Calibri"/>
              </w:rPr>
            </w:pPr>
            <w:r w:rsidRPr="00503712">
              <w:rPr>
                <w:rFonts w:ascii="Calibri" w:hAnsi="Calibri" w:cs="Calibri"/>
              </w:rPr>
              <w:t>Segregation of Customer Collateral</w:t>
            </w:r>
          </w:p>
        </w:tc>
        <w:tc>
          <w:tcPr>
            <w:tcW w:w="6134" w:type="dxa"/>
          </w:tcPr>
          <w:p w14:paraId="509F9A49" w14:textId="73BD471D" w:rsidR="001B7804" w:rsidRPr="00503712" w:rsidRDefault="001B7804" w:rsidP="007A3A5E">
            <w:pPr>
              <w:pStyle w:val="a5"/>
              <w:numPr>
                <w:ilvl w:val="0"/>
                <w:numId w:val="2"/>
              </w:numPr>
              <w:ind w:leftChars="0"/>
              <w:jc w:val="left"/>
              <w:rPr>
                <w:rFonts w:ascii="Calibri" w:hAnsi="Calibri" w:cs="Calibri"/>
              </w:rPr>
            </w:pPr>
            <w:r w:rsidRPr="00503712">
              <w:rPr>
                <w:rFonts w:ascii="Calibri" w:hAnsi="Calibri" w:cs="Calibri"/>
              </w:rPr>
              <w:t xml:space="preserve">Customer collateral is deposited at JSCC and is held in each customer’s individual segregated account which is segregated from (i) JSCC’s own assets, (ii) the clearing members’ collateral, and (iii) the fellow customers’ collateral. </w:t>
            </w:r>
            <w:r w:rsidR="00591D57" w:rsidRPr="00503712">
              <w:rPr>
                <w:rFonts w:ascii="Calibri" w:hAnsi="Calibri" w:cs="Calibri"/>
              </w:rPr>
              <w:t xml:space="preserve"> </w:t>
            </w:r>
            <w:r w:rsidRPr="00503712">
              <w:rPr>
                <w:rFonts w:ascii="Calibri" w:hAnsi="Calibri" w:cs="Calibri"/>
              </w:rPr>
              <w:t>Deposit with and withdrawal from JSCC of customer collateral is made by customers through a clearing broker acting as the payment agent</w:t>
            </w:r>
            <w:r w:rsidR="0003376B">
              <w:rPr>
                <w:rFonts w:ascii="Calibri" w:hAnsi="Calibri" w:cs="Calibri"/>
              </w:rPr>
              <w:t>.</w:t>
            </w:r>
            <w:r w:rsidR="000A278A" w:rsidRPr="00503712">
              <w:rPr>
                <w:rStyle w:val="ae"/>
                <w:rFonts w:ascii="Calibri" w:hAnsi="Calibri" w:cs="Calibri"/>
              </w:rPr>
              <w:footnoteReference w:id="2"/>
            </w:r>
          </w:p>
        </w:tc>
        <w:tc>
          <w:tcPr>
            <w:tcW w:w="1529" w:type="dxa"/>
          </w:tcPr>
          <w:p w14:paraId="15EEC880" w14:textId="77777777" w:rsidR="001B7804" w:rsidRPr="00503712" w:rsidRDefault="001B7804" w:rsidP="00101FD8">
            <w:pPr>
              <w:jc w:val="left"/>
              <w:rPr>
                <w:rFonts w:ascii="Calibri" w:hAnsi="Calibri" w:cs="Calibri"/>
              </w:rPr>
            </w:pPr>
            <w:r w:rsidRPr="00503712">
              <w:rPr>
                <w:rFonts w:ascii="Calibri" w:hAnsi="Calibri" w:cs="Calibri"/>
              </w:rPr>
              <w:t>Business Rules</w:t>
            </w:r>
            <w:r w:rsidRPr="00503712">
              <w:rPr>
                <w:rStyle w:val="ae"/>
                <w:rFonts w:ascii="Calibri" w:hAnsi="Calibri" w:cs="Calibri"/>
              </w:rPr>
              <w:footnoteReference w:id="3"/>
            </w:r>
          </w:p>
          <w:p w14:paraId="048E9226" w14:textId="4327ECFD" w:rsidR="001B7804" w:rsidRPr="00503712" w:rsidRDefault="001B7804" w:rsidP="00166B0C">
            <w:pPr>
              <w:jc w:val="left"/>
              <w:rPr>
                <w:rFonts w:ascii="Calibri" w:hAnsi="Calibri" w:cs="Calibri"/>
              </w:rPr>
            </w:pPr>
            <w:r w:rsidRPr="00503712">
              <w:rPr>
                <w:rFonts w:ascii="Calibri" w:hAnsi="Calibri" w:cs="Calibri"/>
              </w:rPr>
              <w:t>Article</w:t>
            </w:r>
            <w:r w:rsidR="00166B0C" w:rsidRPr="00503712">
              <w:rPr>
                <w:rFonts w:ascii="Calibri" w:hAnsi="Calibri" w:cs="Calibri"/>
              </w:rPr>
              <w:t>s</w:t>
            </w:r>
            <w:r w:rsidRPr="00503712">
              <w:rPr>
                <w:rFonts w:ascii="Calibri" w:hAnsi="Calibri" w:cs="Calibri"/>
              </w:rPr>
              <w:t xml:space="preserve"> 59.</w:t>
            </w:r>
            <w:r w:rsidR="006D2B48" w:rsidRPr="00503712">
              <w:rPr>
                <w:rFonts w:ascii="Calibri" w:hAnsi="Calibri" w:cs="Calibri"/>
              </w:rPr>
              <w:t>2</w:t>
            </w:r>
            <w:r w:rsidRPr="00503712">
              <w:rPr>
                <w:rFonts w:ascii="Calibri" w:hAnsi="Calibri" w:cs="Calibri"/>
              </w:rPr>
              <w:t xml:space="preserve">, 75, </w:t>
            </w:r>
            <w:r w:rsidR="000A278A" w:rsidRPr="00503712">
              <w:rPr>
                <w:rFonts w:ascii="Calibri" w:hAnsi="Calibri" w:cs="Calibri"/>
              </w:rPr>
              <w:t xml:space="preserve">76.4 </w:t>
            </w:r>
            <w:r w:rsidRPr="00503712">
              <w:rPr>
                <w:rFonts w:ascii="Calibri" w:hAnsi="Calibri" w:cs="Calibri"/>
              </w:rPr>
              <w:t>and 87.1</w:t>
            </w:r>
          </w:p>
          <w:p w14:paraId="6C895F65" w14:textId="77777777" w:rsidR="001B7804" w:rsidRPr="00503712" w:rsidRDefault="001B7804" w:rsidP="00101FD8">
            <w:pPr>
              <w:jc w:val="left"/>
              <w:rPr>
                <w:rFonts w:ascii="Calibri" w:hAnsi="Calibri" w:cs="Calibri"/>
              </w:rPr>
            </w:pPr>
          </w:p>
          <w:p w14:paraId="214D63BD" w14:textId="066B9B98" w:rsidR="001B7804" w:rsidRPr="00503712" w:rsidRDefault="006D2B48" w:rsidP="002825BC">
            <w:pPr>
              <w:jc w:val="left"/>
              <w:rPr>
                <w:rFonts w:ascii="Calibri" w:hAnsi="Calibri" w:cs="Calibri"/>
              </w:rPr>
            </w:pPr>
            <w:r w:rsidRPr="00503712">
              <w:rPr>
                <w:rFonts w:ascii="Calibri" w:hAnsi="Calibri" w:cs="Calibri"/>
              </w:rPr>
              <w:t>Financial Instruments and Exchange Act of Japan Article 156-11</w:t>
            </w:r>
            <w:r w:rsidRPr="00503712">
              <w:rPr>
                <w:rStyle w:val="ae"/>
                <w:rFonts w:ascii="Calibri" w:hAnsi="Calibri" w:cs="Calibri"/>
              </w:rPr>
              <w:footnoteReference w:id="4"/>
            </w:r>
          </w:p>
        </w:tc>
        <w:tc>
          <w:tcPr>
            <w:tcW w:w="4580" w:type="dxa"/>
          </w:tcPr>
          <w:p w14:paraId="0219D936" w14:textId="6DBB769B" w:rsidR="001B7804" w:rsidRPr="00503712" w:rsidRDefault="001B7804" w:rsidP="00101FD8">
            <w:pPr>
              <w:pStyle w:val="a5"/>
              <w:numPr>
                <w:ilvl w:val="0"/>
                <w:numId w:val="2"/>
              </w:numPr>
              <w:ind w:leftChars="0"/>
              <w:jc w:val="left"/>
              <w:rPr>
                <w:rFonts w:ascii="Calibri" w:hAnsi="Calibri" w:cs="Calibri"/>
              </w:rPr>
            </w:pPr>
            <w:r w:rsidRPr="00503712">
              <w:rPr>
                <w:rFonts w:ascii="Calibri" w:hAnsi="Calibri" w:cs="Calibri"/>
              </w:rPr>
              <w:t xml:space="preserve">Customer </w:t>
            </w:r>
            <w:r w:rsidR="005D68B5" w:rsidRPr="00503712">
              <w:rPr>
                <w:rFonts w:ascii="Calibri" w:hAnsi="Calibri" w:cs="Calibri"/>
              </w:rPr>
              <w:t xml:space="preserve">money, securities and property (“customer property”) </w:t>
            </w:r>
            <w:r w:rsidRPr="00503712">
              <w:rPr>
                <w:rFonts w:ascii="Calibri" w:hAnsi="Calibri" w:cs="Calibri"/>
              </w:rPr>
              <w:t xml:space="preserve">must be legally segregated from </w:t>
            </w:r>
            <w:r w:rsidR="005D68B5" w:rsidRPr="00503712">
              <w:rPr>
                <w:rFonts w:ascii="Calibri" w:hAnsi="Calibri" w:cs="Calibri"/>
              </w:rPr>
              <w:t>that</w:t>
            </w:r>
            <w:r w:rsidRPr="00503712">
              <w:rPr>
                <w:rFonts w:ascii="Calibri" w:hAnsi="Calibri" w:cs="Calibri"/>
              </w:rPr>
              <w:t xml:space="preserve"> of other customers</w:t>
            </w:r>
            <w:r w:rsidR="005D68B5" w:rsidRPr="00503712">
              <w:rPr>
                <w:rFonts w:ascii="Calibri" w:hAnsi="Calibri" w:cs="Calibri"/>
              </w:rPr>
              <w:t xml:space="preserve">, the FCM and the DCO, </w:t>
            </w:r>
            <w:r w:rsidRPr="00503712">
              <w:rPr>
                <w:rFonts w:ascii="Calibri" w:hAnsi="Calibri" w:cs="Calibri"/>
              </w:rPr>
              <w:t xml:space="preserve">but customer </w:t>
            </w:r>
            <w:r w:rsidR="005D68B5" w:rsidRPr="00503712">
              <w:rPr>
                <w:rFonts w:ascii="Calibri" w:hAnsi="Calibri" w:cs="Calibri"/>
              </w:rPr>
              <w:t>property</w:t>
            </w:r>
            <w:r w:rsidRPr="00503712">
              <w:rPr>
                <w:rFonts w:ascii="Calibri" w:hAnsi="Calibri" w:cs="Calibri"/>
              </w:rPr>
              <w:t xml:space="preserve"> may </w:t>
            </w:r>
            <w:r w:rsidR="00FA19DB" w:rsidRPr="00503712">
              <w:rPr>
                <w:rFonts w:ascii="Calibri" w:hAnsi="Calibri" w:cs="Calibri"/>
              </w:rPr>
              <w:t xml:space="preserve">be </w:t>
            </w:r>
            <w:r w:rsidRPr="00503712">
              <w:rPr>
                <w:rFonts w:ascii="Calibri" w:hAnsi="Calibri" w:cs="Calibri"/>
              </w:rPr>
              <w:t>held by a DCO or FCM in an operationally commingled account with the collateral of all customers.</w:t>
            </w:r>
          </w:p>
          <w:p w14:paraId="30F7FCD6" w14:textId="339D77FD" w:rsidR="001B7804" w:rsidRPr="00503712" w:rsidRDefault="001B7804" w:rsidP="00101FD8">
            <w:pPr>
              <w:jc w:val="left"/>
              <w:rPr>
                <w:rFonts w:ascii="Calibri" w:hAnsi="Calibri" w:cs="Calibri"/>
              </w:rPr>
            </w:pPr>
            <w:r w:rsidRPr="00503712">
              <w:rPr>
                <w:rFonts w:ascii="Calibri" w:hAnsi="Calibri" w:cs="Calibri"/>
              </w:rPr>
              <w:t xml:space="preserve">   </w:t>
            </w:r>
          </w:p>
        </w:tc>
        <w:tc>
          <w:tcPr>
            <w:tcW w:w="1855" w:type="dxa"/>
          </w:tcPr>
          <w:p w14:paraId="06C00C09" w14:textId="50319E72" w:rsidR="001B7804" w:rsidRPr="00503712" w:rsidRDefault="001B7804" w:rsidP="00101FD8">
            <w:pPr>
              <w:jc w:val="left"/>
              <w:rPr>
                <w:rFonts w:ascii="Calibri" w:hAnsi="Calibri" w:cs="Calibri"/>
              </w:rPr>
            </w:pPr>
            <w:r w:rsidRPr="00503712">
              <w:rPr>
                <w:rFonts w:ascii="Calibri" w:hAnsi="Calibri" w:cs="Calibri"/>
              </w:rPr>
              <w:t>CFTC Rules 22.3, 22.15, 39.15, 39.16</w:t>
            </w:r>
          </w:p>
          <w:p w14:paraId="1A98637E" w14:textId="77777777" w:rsidR="005D68B5" w:rsidRPr="00503712" w:rsidRDefault="005D68B5" w:rsidP="00101FD8">
            <w:pPr>
              <w:jc w:val="left"/>
              <w:rPr>
                <w:rFonts w:ascii="Calibri" w:hAnsi="Calibri" w:cs="Calibri"/>
              </w:rPr>
            </w:pPr>
          </w:p>
          <w:p w14:paraId="4A3E777B" w14:textId="49E09221" w:rsidR="00C71F26" w:rsidRPr="00503712" w:rsidRDefault="00C71F26" w:rsidP="00101FD8">
            <w:pPr>
              <w:jc w:val="left"/>
              <w:rPr>
                <w:rFonts w:ascii="Calibri" w:hAnsi="Calibri" w:cs="Calibri"/>
              </w:rPr>
            </w:pPr>
            <w:r w:rsidRPr="00503712">
              <w:rPr>
                <w:rFonts w:ascii="Calibri" w:hAnsi="Calibri" w:cs="Calibri"/>
              </w:rPr>
              <w:t>CEA Section 4d</w:t>
            </w:r>
            <w:r w:rsidR="005D68B5" w:rsidRPr="00503712">
              <w:rPr>
                <w:rFonts w:ascii="Calibri" w:hAnsi="Calibri" w:cs="Calibri"/>
              </w:rPr>
              <w:t>(a) and 4d(b)</w:t>
            </w:r>
          </w:p>
          <w:p w14:paraId="4752C80A" w14:textId="33EF83BF" w:rsidR="005D68B5" w:rsidRPr="00503712" w:rsidRDefault="005D68B5" w:rsidP="00101FD8">
            <w:pPr>
              <w:jc w:val="left"/>
              <w:rPr>
                <w:rFonts w:ascii="Calibri" w:hAnsi="Calibri" w:cs="Calibri"/>
              </w:rPr>
            </w:pPr>
            <w:r w:rsidRPr="00503712">
              <w:rPr>
                <w:rFonts w:ascii="Calibri" w:hAnsi="Calibri" w:cs="Calibri"/>
              </w:rPr>
              <w:t>CEA Section 5b(f)</w:t>
            </w:r>
          </w:p>
          <w:p w14:paraId="30DA9C64" w14:textId="27B25E93" w:rsidR="005D68B5" w:rsidRPr="00503712" w:rsidRDefault="005D68B5" w:rsidP="00101FD8">
            <w:pPr>
              <w:jc w:val="left"/>
              <w:rPr>
                <w:rFonts w:ascii="Calibri" w:hAnsi="Calibri" w:cs="Calibri"/>
              </w:rPr>
            </w:pPr>
          </w:p>
        </w:tc>
      </w:tr>
      <w:tr w:rsidR="0014146E" w:rsidRPr="00503712" w14:paraId="021C4B5D" w14:textId="4DAE6804" w:rsidTr="001B7804">
        <w:tc>
          <w:tcPr>
            <w:tcW w:w="376" w:type="dxa"/>
          </w:tcPr>
          <w:p w14:paraId="31707CCB" w14:textId="77777777" w:rsidR="00172F38" w:rsidRPr="00503712" w:rsidRDefault="00172F38" w:rsidP="00101FD8">
            <w:pPr>
              <w:jc w:val="left"/>
              <w:rPr>
                <w:rFonts w:ascii="Calibri" w:hAnsi="Calibri" w:cs="Calibri"/>
              </w:rPr>
            </w:pPr>
            <w:r w:rsidRPr="00503712">
              <w:rPr>
                <w:rFonts w:ascii="Calibri" w:hAnsi="Calibri" w:cs="Calibri"/>
              </w:rPr>
              <w:lastRenderedPageBreak/>
              <w:t>2</w:t>
            </w:r>
          </w:p>
        </w:tc>
        <w:tc>
          <w:tcPr>
            <w:tcW w:w="1261" w:type="dxa"/>
          </w:tcPr>
          <w:p w14:paraId="43704479" w14:textId="12F66DBF" w:rsidR="00172F38" w:rsidRPr="00503712" w:rsidRDefault="0014718F" w:rsidP="00101FD8">
            <w:pPr>
              <w:jc w:val="left"/>
              <w:rPr>
                <w:rFonts w:ascii="Calibri" w:hAnsi="Calibri" w:cs="Calibri"/>
              </w:rPr>
            </w:pPr>
            <w:r w:rsidRPr="00503712">
              <w:rPr>
                <w:rFonts w:ascii="Calibri" w:hAnsi="Calibri" w:cs="Calibri"/>
              </w:rPr>
              <w:t>Bankruptcy Remoteness of Customer Collateral</w:t>
            </w:r>
          </w:p>
        </w:tc>
        <w:tc>
          <w:tcPr>
            <w:tcW w:w="6134" w:type="dxa"/>
          </w:tcPr>
          <w:p w14:paraId="48A28467" w14:textId="305EF928" w:rsidR="0014146E" w:rsidRDefault="0014146E" w:rsidP="00101FD8">
            <w:pPr>
              <w:pStyle w:val="a5"/>
              <w:numPr>
                <w:ilvl w:val="0"/>
                <w:numId w:val="2"/>
              </w:numPr>
              <w:ind w:leftChars="0"/>
              <w:jc w:val="left"/>
              <w:rPr>
                <w:rFonts w:ascii="Calibri" w:hAnsi="Calibri" w:cs="Calibri"/>
              </w:rPr>
            </w:pPr>
            <w:r w:rsidRPr="00503712">
              <w:rPr>
                <w:rFonts w:ascii="Calibri" w:hAnsi="Calibri" w:cs="Calibri"/>
              </w:rPr>
              <w:t>JSCC has established a trust arrangement whereby the customer collateral is deposited in accounts on behalf of cus</w:t>
            </w:r>
            <w:r w:rsidR="000F3A39" w:rsidRPr="00503712">
              <w:rPr>
                <w:rFonts w:ascii="Calibri" w:hAnsi="Calibri" w:cs="Calibri"/>
              </w:rPr>
              <w:t>tomers (the “Trust Accounts”).</w:t>
            </w:r>
            <w:r w:rsidR="000D55F8">
              <w:rPr>
                <w:rStyle w:val="ae"/>
                <w:rFonts w:ascii="Calibri" w:hAnsi="Calibri" w:cs="Calibri"/>
              </w:rPr>
              <w:footnoteReference w:id="5"/>
            </w:r>
            <w:r w:rsidR="000F3A39" w:rsidRPr="00503712">
              <w:rPr>
                <w:rFonts w:ascii="Calibri" w:hAnsi="Calibri" w:cs="Calibri"/>
              </w:rPr>
              <w:t xml:space="preserve"> </w:t>
            </w:r>
            <w:r w:rsidR="00591D57" w:rsidRPr="00503712">
              <w:rPr>
                <w:rFonts w:ascii="Calibri" w:hAnsi="Calibri" w:cs="Calibri"/>
              </w:rPr>
              <w:t xml:space="preserve"> </w:t>
            </w:r>
            <w:r w:rsidRPr="00503712">
              <w:rPr>
                <w:rFonts w:ascii="Calibri" w:hAnsi="Calibri" w:cs="Calibri"/>
              </w:rPr>
              <w:t xml:space="preserve">The collateral in the Trust Accounts is legally remote from a bankruptcy of (i) JSCC, (ii) clearing </w:t>
            </w:r>
            <w:r w:rsidR="005D68B5" w:rsidRPr="00503712">
              <w:rPr>
                <w:rFonts w:ascii="Calibri" w:hAnsi="Calibri" w:cs="Calibri"/>
              </w:rPr>
              <w:t>members</w:t>
            </w:r>
            <w:r w:rsidRPr="00503712">
              <w:rPr>
                <w:rFonts w:ascii="Calibri" w:hAnsi="Calibri" w:cs="Calibri"/>
              </w:rPr>
              <w:t xml:space="preserve">, and (iii) the trust bank. </w:t>
            </w:r>
          </w:p>
          <w:p w14:paraId="082EE913" w14:textId="77777777" w:rsidR="00F1125F" w:rsidRPr="00503712" w:rsidRDefault="00F1125F" w:rsidP="00F1125F">
            <w:pPr>
              <w:pStyle w:val="a5"/>
              <w:ind w:leftChars="0" w:left="420"/>
              <w:jc w:val="left"/>
              <w:rPr>
                <w:rFonts w:ascii="Calibri" w:hAnsi="Calibri" w:cs="Calibri"/>
              </w:rPr>
            </w:pPr>
          </w:p>
          <w:p w14:paraId="30A3A33A" w14:textId="2A33DF6B" w:rsidR="00172F38" w:rsidRDefault="0014146E" w:rsidP="00B00967">
            <w:pPr>
              <w:pStyle w:val="a5"/>
              <w:numPr>
                <w:ilvl w:val="0"/>
                <w:numId w:val="2"/>
              </w:numPr>
              <w:ind w:leftChars="0"/>
              <w:jc w:val="left"/>
              <w:rPr>
                <w:rFonts w:ascii="Calibri" w:hAnsi="Calibri" w:cs="Calibri"/>
              </w:rPr>
            </w:pPr>
            <w:r w:rsidRPr="00503712">
              <w:rPr>
                <w:rFonts w:ascii="Calibri" w:hAnsi="Calibri" w:cs="Calibri"/>
              </w:rPr>
              <w:t>Article 2</w:t>
            </w:r>
            <w:r w:rsidR="0000180D" w:rsidRPr="00503712">
              <w:rPr>
                <w:rFonts w:ascii="Calibri" w:hAnsi="Calibri" w:cs="Calibri"/>
              </w:rPr>
              <w:t>5</w:t>
            </w:r>
            <w:r w:rsidRPr="00503712">
              <w:rPr>
                <w:rFonts w:ascii="Calibri" w:hAnsi="Calibri" w:cs="Calibri"/>
              </w:rPr>
              <w:t xml:space="preserve"> of the Trust Act of Japan</w:t>
            </w:r>
            <w:r w:rsidRPr="00503712">
              <w:rPr>
                <w:rStyle w:val="ae"/>
                <w:rFonts w:ascii="Calibri" w:hAnsi="Calibri" w:cs="Calibri"/>
              </w:rPr>
              <w:footnoteReference w:id="6"/>
            </w:r>
            <w:r w:rsidRPr="00503712">
              <w:rPr>
                <w:rFonts w:ascii="Calibri" w:hAnsi="Calibri" w:cs="Calibri"/>
              </w:rPr>
              <w:t xml:space="preserve"> is construed as the legal basis for the bankruptcy remoteness of collateral in the Trust Accounts from the trustee’s assets. JSCC has obtained a legal opinion from an independent law firm (Linklaters Tokyo</w:t>
            </w:r>
            <w:r w:rsidR="007E5665">
              <w:rPr>
                <w:rStyle w:val="ae"/>
                <w:rFonts w:ascii="Calibri" w:hAnsi="Calibri" w:cs="Calibri"/>
              </w:rPr>
              <w:footnoteReference w:id="7"/>
            </w:r>
            <w:r w:rsidRPr="00503712">
              <w:rPr>
                <w:rFonts w:ascii="Calibri" w:hAnsi="Calibri" w:cs="Calibri"/>
              </w:rPr>
              <w:t xml:space="preserve">) concerning the bankruptcy remoteness of the collateral in the Trust Accounts from JSCC’s </w:t>
            </w:r>
            <w:r w:rsidR="00F441A3" w:rsidRPr="00F441A3">
              <w:rPr>
                <w:rFonts w:ascii="Calibri" w:hAnsi="Calibri" w:cs="Calibri"/>
              </w:rPr>
              <w:t>bankruptcy estate in cases of JSCC's insolvency</w:t>
            </w:r>
            <w:r w:rsidRPr="00503712">
              <w:rPr>
                <w:rFonts w:ascii="Calibri" w:hAnsi="Calibri" w:cs="Calibri"/>
              </w:rPr>
              <w:t>.</w:t>
            </w:r>
          </w:p>
          <w:p w14:paraId="0AB0265E" w14:textId="77777777" w:rsidR="00F1125F" w:rsidRDefault="00F1125F" w:rsidP="00F1125F">
            <w:pPr>
              <w:pStyle w:val="a5"/>
              <w:ind w:leftChars="0" w:left="420"/>
              <w:jc w:val="left"/>
              <w:rPr>
                <w:rFonts w:ascii="Calibri" w:hAnsi="Calibri" w:cs="Calibri"/>
              </w:rPr>
            </w:pPr>
          </w:p>
          <w:p w14:paraId="74BA2664" w14:textId="3D6F26C4" w:rsidR="00727AA9" w:rsidRDefault="00727AA9" w:rsidP="00603CF0">
            <w:pPr>
              <w:pStyle w:val="a5"/>
              <w:numPr>
                <w:ilvl w:val="0"/>
                <w:numId w:val="2"/>
              </w:numPr>
              <w:ind w:leftChars="0"/>
              <w:jc w:val="left"/>
              <w:rPr>
                <w:rFonts w:ascii="Calibri" w:hAnsi="Calibri" w:cs="Calibri"/>
              </w:rPr>
            </w:pPr>
            <w:r w:rsidRPr="00503712">
              <w:rPr>
                <w:rFonts w:ascii="Calibri" w:hAnsi="Calibri" w:cs="Calibri"/>
              </w:rPr>
              <w:t>Fees and costs arising from the trust arrangement</w:t>
            </w:r>
            <w:r w:rsidR="00603CF0">
              <w:rPr>
                <w:rFonts w:ascii="Calibri" w:hAnsi="Calibri" w:cs="Calibri"/>
              </w:rPr>
              <w:t>, if applicable,</w:t>
            </w:r>
            <w:r w:rsidRPr="00503712">
              <w:rPr>
                <w:rFonts w:ascii="Calibri" w:hAnsi="Calibri" w:cs="Calibri"/>
              </w:rPr>
              <w:t xml:space="preserve"> would be </w:t>
            </w:r>
            <w:r w:rsidR="00603CF0">
              <w:rPr>
                <w:rFonts w:ascii="Calibri" w:hAnsi="Calibri" w:cs="Calibri"/>
              </w:rPr>
              <w:t>passed onto clearing members</w:t>
            </w:r>
            <w:r w:rsidRPr="00503712">
              <w:rPr>
                <w:rFonts w:ascii="Calibri" w:hAnsi="Calibri" w:cs="Calibri"/>
              </w:rPr>
              <w:t xml:space="preserve"> by JSCC</w:t>
            </w:r>
            <w:r w:rsidR="00BE2F98">
              <w:rPr>
                <w:rStyle w:val="ae"/>
                <w:rFonts w:ascii="Calibri" w:hAnsi="Calibri" w:cs="Calibri"/>
              </w:rPr>
              <w:footnoteReference w:id="8"/>
            </w:r>
            <w:r w:rsidRPr="00503712">
              <w:rPr>
                <w:rFonts w:ascii="Calibri" w:hAnsi="Calibri" w:cs="Calibri"/>
              </w:rPr>
              <w:t xml:space="preserve"> and would not be deducted from the customers’ collateral.</w:t>
            </w:r>
          </w:p>
          <w:p w14:paraId="2007F6C9" w14:textId="6A18252F" w:rsidR="00F1125F" w:rsidRPr="00503712" w:rsidRDefault="00F1125F" w:rsidP="00F1125F">
            <w:pPr>
              <w:pStyle w:val="a5"/>
              <w:ind w:leftChars="0" w:left="420"/>
              <w:jc w:val="left"/>
              <w:rPr>
                <w:rFonts w:ascii="Calibri" w:hAnsi="Calibri" w:cs="Calibri"/>
              </w:rPr>
            </w:pPr>
          </w:p>
        </w:tc>
        <w:tc>
          <w:tcPr>
            <w:tcW w:w="1529" w:type="dxa"/>
          </w:tcPr>
          <w:p w14:paraId="610F3C54" w14:textId="77777777" w:rsidR="00C94B10" w:rsidRPr="00503712" w:rsidRDefault="00C94B10" w:rsidP="00C94B10">
            <w:pPr>
              <w:jc w:val="left"/>
              <w:rPr>
                <w:rFonts w:ascii="Calibri" w:hAnsi="Calibri" w:cs="Calibri"/>
              </w:rPr>
            </w:pPr>
            <w:r w:rsidRPr="00503712">
              <w:rPr>
                <w:rFonts w:ascii="Calibri" w:hAnsi="Calibri" w:cs="Calibri"/>
              </w:rPr>
              <w:lastRenderedPageBreak/>
              <w:t>Business Rules</w:t>
            </w:r>
          </w:p>
          <w:p w14:paraId="208A4DD1" w14:textId="21909716" w:rsidR="00C94B10" w:rsidRPr="00503712" w:rsidRDefault="00C94B10" w:rsidP="00C94B10">
            <w:pPr>
              <w:jc w:val="left"/>
              <w:rPr>
                <w:rFonts w:ascii="Calibri" w:hAnsi="Calibri" w:cs="Calibri"/>
              </w:rPr>
            </w:pPr>
            <w:r w:rsidRPr="00503712">
              <w:rPr>
                <w:rFonts w:ascii="Calibri" w:hAnsi="Calibri" w:cs="Calibri"/>
              </w:rPr>
              <w:t>Article 87</w:t>
            </w:r>
            <w:r w:rsidR="001C3AE1" w:rsidRPr="00503712">
              <w:rPr>
                <w:rFonts w:ascii="Calibri" w:hAnsi="Calibri" w:cs="Calibri"/>
              </w:rPr>
              <w:t>.1</w:t>
            </w:r>
          </w:p>
          <w:p w14:paraId="74D80298" w14:textId="77777777" w:rsidR="00C94B10" w:rsidRPr="00503712" w:rsidRDefault="00C94B10" w:rsidP="00C94B10">
            <w:pPr>
              <w:jc w:val="left"/>
              <w:rPr>
                <w:rFonts w:ascii="Calibri" w:hAnsi="Calibri" w:cs="Calibri"/>
              </w:rPr>
            </w:pPr>
          </w:p>
          <w:p w14:paraId="1DE87FDA" w14:textId="77777777" w:rsidR="00C94B10" w:rsidRPr="00503712" w:rsidRDefault="00C94B10" w:rsidP="00C94B10">
            <w:pPr>
              <w:jc w:val="left"/>
              <w:rPr>
                <w:rFonts w:ascii="Calibri" w:hAnsi="Calibri" w:cs="Calibri"/>
              </w:rPr>
            </w:pPr>
            <w:r w:rsidRPr="00503712">
              <w:rPr>
                <w:rFonts w:ascii="Calibri" w:hAnsi="Calibri" w:cs="Calibri"/>
              </w:rPr>
              <w:t>Handling Procedures</w:t>
            </w:r>
          </w:p>
          <w:p w14:paraId="7B7D80C5" w14:textId="70328F1B" w:rsidR="00C94B10" w:rsidRPr="00503712" w:rsidRDefault="00C94B10" w:rsidP="00C94B10">
            <w:pPr>
              <w:jc w:val="left"/>
              <w:rPr>
                <w:rFonts w:ascii="Calibri" w:hAnsi="Calibri" w:cs="Calibri"/>
              </w:rPr>
            </w:pPr>
            <w:r w:rsidRPr="00503712">
              <w:rPr>
                <w:rFonts w:ascii="Calibri" w:hAnsi="Calibri" w:cs="Calibri"/>
              </w:rPr>
              <w:t>Article</w:t>
            </w:r>
            <w:r w:rsidR="000F3A39" w:rsidRPr="00503712">
              <w:rPr>
                <w:rFonts w:ascii="Calibri" w:hAnsi="Calibri" w:cs="Calibri"/>
              </w:rPr>
              <w:t>s</w:t>
            </w:r>
            <w:r w:rsidRPr="00503712">
              <w:rPr>
                <w:rFonts w:ascii="Calibri" w:hAnsi="Calibri" w:cs="Calibri"/>
              </w:rPr>
              <w:t xml:space="preserve"> 44.2 and 44.3</w:t>
            </w:r>
          </w:p>
          <w:p w14:paraId="741E3053" w14:textId="5045D4C7" w:rsidR="005B7975" w:rsidRPr="00503712" w:rsidRDefault="005B7975" w:rsidP="00C94B10">
            <w:pPr>
              <w:jc w:val="left"/>
              <w:rPr>
                <w:rFonts w:ascii="Calibri" w:hAnsi="Calibri" w:cs="Calibri"/>
              </w:rPr>
            </w:pPr>
          </w:p>
          <w:p w14:paraId="2200AA5D" w14:textId="6E0E23F6" w:rsidR="005B7975" w:rsidRPr="00503712" w:rsidRDefault="005B7975" w:rsidP="00C94B10">
            <w:pPr>
              <w:jc w:val="left"/>
              <w:rPr>
                <w:rFonts w:ascii="Calibri" w:hAnsi="Calibri" w:cs="Calibri"/>
              </w:rPr>
            </w:pPr>
            <w:r w:rsidRPr="00503712">
              <w:rPr>
                <w:rFonts w:ascii="Calibri" w:hAnsi="Calibri" w:cs="Calibri"/>
              </w:rPr>
              <w:t>Trust Act of Japan, Article 2</w:t>
            </w:r>
            <w:r w:rsidR="0000180D" w:rsidRPr="00503712">
              <w:rPr>
                <w:rFonts w:ascii="Calibri" w:hAnsi="Calibri" w:cs="Calibri"/>
              </w:rPr>
              <w:t>5</w:t>
            </w:r>
          </w:p>
          <w:p w14:paraId="7C298D23" w14:textId="77777777" w:rsidR="00172F38" w:rsidRPr="00503712" w:rsidRDefault="00172F38" w:rsidP="00101FD8">
            <w:pPr>
              <w:jc w:val="left"/>
              <w:rPr>
                <w:rFonts w:ascii="Calibri" w:hAnsi="Calibri" w:cs="Calibri"/>
              </w:rPr>
            </w:pPr>
          </w:p>
        </w:tc>
        <w:tc>
          <w:tcPr>
            <w:tcW w:w="4580" w:type="dxa"/>
          </w:tcPr>
          <w:p w14:paraId="611873B8" w14:textId="5759E7F3" w:rsidR="00172F38" w:rsidRPr="00503712" w:rsidRDefault="00C71F26" w:rsidP="00101FD8">
            <w:pPr>
              <w:pStyle w:val="a5"/>
              <w:numPr>
                <w:ilvl w:val="0"/>
                <w:numId w:val="9"/>
              </w:numPr>
              <w:ind w:leftChars="0"/>
              <w:jc w:val="left"/>
              <w:rPr>
                <w:rFonts w:ascii="Calibri" w:hAnsi="Calibri" w:cs="Calibri"/>
              </w:rPr>
            </w:pPr>
            <w:r w:rsidRPr="00503712">
              <w:rPr>
                <w:rFonts w:ascii="Calibri" w:hAnsi="Calibri" w:cs="Calibri"/>
              </w:rPr>
              <w:t xml:space="preserve">FCMs and DCOs must segregate customer property from other assets.  </w:t>
            </w:r>
            <w:r w:rsidR="005D68B5" w:rsidRPr="00503712">
              <w:rPr>
                <w:rFonts w:ascii="Calibri" w:hAnsi="Calibri" w:cs="Calibri"/>
              </w:rPr>
              <w:t>In the case of an FCM bankruptcy, c</w:t>
            </w:r>
            <w:r w:rsidRPr="00503712">
              <w:rPr>
                <w:rFonts w:ascii="Calibri" w:hAnsi="Calibri" w:cs="Calibri"/>
              </w:rPr>
              <w:t>ustomer property is entitled to priority under the U.S. Bankruptcy Code and the CEA and will be paid to customers before any property becomes available to satisfy claims of an FCM’s other customers</w:t>
            </w:r>
            <w:r w:rsidR="00251AE7">
              <w:rPr>
                <w:rFonts w:ascii="Calibri" w:hAnsi="Calibri" w:cs="Calibri"/>
              </w:rPr>
              <w:t xml:space="preserve">. </w:t>
            </w:r>
          </w:p>
        </w:tc>
        <w:tc>
          <w:tcPr>
            <w:tcW w:w="1855" w:type="dxa"/>
          </w:tcPr>
          <w:p w14:paraId="3AC88604" w14:textId="648F87ED" w:rsidR="00172F38" w:rsidRPr="00503712" w:rsidRDefault="00573D14" w:rsidP="00101FD8">
            <w:pPr>
              <w:jc w:val="left"/>
              <w:rPr>
                <w:rFonts w:ascii="Calibri" w:hAnsi="Calibri" w:cs="Calibri"/>
              </w:rPr>
            </w:pPr>
            <w:r w:rsidRPr="00503712">
              <w:rPr>
                <w:rFonts w:ascii="Calibri" w:hAnsi="Calibri" w:cs="Calibri"/>
              </w:rPr>
              <w:t>U.S. Bankruptcy Code</w:t>
            </w:r>
            <w:r w:rsidR="005D68B5" w:rsidRPr="00503712">
              <w:rPr>
                <w:rFonts w:ascii="Calibri" w:hAnsi="Calibri" w:cs="Calibri"/>
              </w:rPr>
              <w:t>,</w:t>
            </w:r>
            <w:r w:rsidRPr="00503712">
              <w:rPr>
                <w:rFonts w:ascii="Calibri" w:hAnsi="Calibri" w:cs="Calibri"/>
              </w:rPr>
              <w:t xml:space="preserve"> Section 766</w:t>
            </w:r>
          </w:p>
          <w:p w14:paraId="79B830A0" w14:textId="77777777" w:rsidR="00573D14" w:rsidRPr="00503712" w:rsidRDefault="00573D14" w:rsidP="00101FD8">
            <w:pPr>
              <w:jc w:val="left"/>
              <w:rPr>
                <w:rFonts w:ascii="Calibri" w:hAnsi="Calibri" w:cs="Calibri"/>
              </w:rPr>
            </w:pPr>
          </w:p>
          <w:p w14:paraId="36D94A6E" w14:textId="66D8FF47" w:rsidR="00573D14" w:rsidRPr="00503712" w:rsidRDefault="00573D14" w:rsidP="00101FD8">
            <w:pPr>
              <w:jc w:val="left"/>
              <w:rPr>
                <w:rFonts w:ascii="Calibri" w:hAnsi="Calibri" w:cs="Calibri"/>
              </w:rPr>
            </w:pPr>
            <w:r w:rsidRPr="00503712">
              <w:rPr>
                <w:rFonts w:ascii="Calibri" w:hAnsi="Calibri" w:cs="Calibri"/>
              </w:rPr>
              <w:t>CFTC Rule 190.08</w:t>
            </w:r>
          </w:p>
        </w:tc>
      </w:tr>
      <w:tr w:rsidR="004564F3" w:rsidRPr="00503712" w14:paraId="464C219A" w14:textId="490923CB" w:rsidTr="001B7804">
        <w:tc>
          <w:tcPr>
            <w:tcW w:w="376" w:type="dxa"/>
          </w:tcPr>
          <w:p w14:paraId="1283E962" w14:textId="77777777" w:rsidR="004564F3" w:rsidRPr="00503712" w:rsidRDefault="004564F3" w:rsidP="00101FD8">
            <w:pPr>
              <w:jc w:val="left"/>
              <w:rPr>
                <w:rFonts w:ascii="Calibri" w:hAnsi="Calibri" w:cs="Calibri"/>
              </w:rPr>
            </w:pPr>
            <w:r w:rsidRPr="00503712">
              <w:rPr>
                <w:rFonts w:ascii="Calibri" w:hAnsi="Calibri" w:cs="Calibri"/>
              </w:rPr>
              <w:lastRenderedPageBreak/>
              <w:t>3</w:t>
            </w:r>
          </w:p>
        </w:tc>
        <w:tc>
          <w:tcPr>
            <w:tcW w:w="1261" w:type="dxa"/>
          </w:tcPr>
          <w:p w14:paraId="699D09BA" w14:textId="383B387E" w:rsidR="004564F3" w:rsidRPr="00503712" w:rsidRDefault="004564F3" w:rsidP="00101FD8">
            <w:pPr>
              <w:jc w:val="left"/>
              <w:rPr>
                <w:rFonts w:ascii="Calibri" w:hAnsi="Calibri" w:cs="Calibri"/>
              </w:rPr>
            </w:pPr>
            <w:r w:rsidRPr="00503712">
              <w:rPr>
                <w:rFonts w:ascii="Calibri" w:hAnsi="Calibri" w:cs="Calibri"/>
              </w:rPr>
              <w:t>Treatment of Customer Collateral in the Event of a JSCC, Trust Bank or Clearing Broker Bankruptcy</w:t>
            </w:r>
          </w:p>
        </w:tc>
        <w:tc>
          <w:tcPr>
            <w:tcW w:w="6134" w:type="dxa"/>
          </w:tcPr>
          <w:p w14:paraId="16E40B34" w14:textId="6C604DDC" w:rsidR="004564F3" w:rsidRDefault="004564F3" w:rsidP="00101FD8">
            <w:pPr>
              <w:pStyle w:val="a5"/>
              <w:numPr>
                <w:ilvl w:val="0"/>
                <w:numId w:val="9"/>
              </w:numPr>
              <w:ind w:leftChars="0"/>
              <w:jc w:val="left"/>
              <w:rPr>
                <w:rFonts w:ascii="Calibri" w:hAnsi="Calibri" w:cs="Calibri"/>
              </w:rPr>
            </w:pPr>
            <w:r w:rsidRPr="00503712">
              <w:rPr>
                <w:rFonts w:ascii="Calibri" w:hAnsi="Calibri" w:cs="Calibri"/>
              </w:rPr>
              <w:t xml:space="preserve">Should JSCC </w:t>
            </w:r>
            <w:r w:rsidR="005D68B5" w:rsidRPr="00503712">
              <w:rPr>
                <w:rFonts w:ascii="Calibri" w:hAnsi="Calibri" w:cs="Calibri"/>
              </w:rPr>
              <w:t>go bankrupt</w:t>
            </w:r>
            <w:r w:rsidRPr="00503712">
              <w:rPr>
                <w:rFonts w:ascii="Calibri" w:hAnsi="Calibri" w:cs="Calibri"/>
              </w:rPr>
              <w:t>, the trust bank would return customer collateral directly to each customer, in accordance with the payment instructions provided by an independent attorney at law, who is appointed in advance as part of the trust arrangement and acts as an agent for all of the customers.</w:t>
            </w:r>
          </w:p>
          <w:p w14:paraId="3920DDAB" w14:textId="77777777" w:rsidR="00F1125F" w:rsidRPr="00503712" w:rsidRDefault="00F1125F" w:rsidP="00F1125F">
            <w:pPr>
              <w:pStyle w:val="a5"/>
              <w:ind w:leftChars="0" w:left="360"/>
              <w:jc w:val="left"/>
              <w:rPr>
                <w:rFonts w:ascii="Calibri" w:hAnsi="Calibri" w:cs="Calibri"/>
              </w:rPr>
            </w:pPr>
          </w:p>
          <w:p w14:paraId="458E8D8D" w14:textId="1C6214BC" w:rsidR="004564F3" w:rsidRDefault="004564F3" w:rsidP="00101FD8">
            <w:pPr>
              <w:pStyle w:val="a5"/>
              <w:numPr>
                <w:ilvl w:val="0"/>
                <w:numId w:val="9"/>
              </w:numPr>
              <w:ind w:leftChars="0"/>
              <w:jc w:val="left"/>
              <w:rPr>
                <w:rFonts w:ascii="Calibri" w:hAnsi="Calibri" w:cs="Calibri"/>
              </w:rPr>
            </w:pPr>
            <w:r w:rsidRPr="00503712">
              <w:rPr>
                <w:rFonts w:ascii="Calibri" w:hAnsi="Calibri" w:cs="Calibri"/>
              </w:rPr>
              <w:t xml:space="preserve">Should the trust bank default, or its creditworthiness deteriorate, JSCC may substitute another trust bank. The procedure for this is detailed in the trust agreement. </w:t>
            </w:r>
          </w:p>
          <w:p w14:paraId="3CE4B626" w14:textId="77777777" w:rsidR="00F1125F" w:rsidRPr="00503712" w:rsidRDefault="00F1125F" w:rsidP="00F1125F">
            <w:pPr>
              <w:pStyle w:val="a5"/>
              <w:ind w:leftChars="0" w:left="360"/>
              <w:jc w:val="left"/>
              <w:rPr>
                <w:rFonts w:ascii="Calibri" w:hAnsi="Calibri" w:cs="Calibri"/>
              </w:rPr>
            </w:pPr>
          </w:p>
          <w:p w14:paraId="08D934E4" w14:textId="77777777" w:rsidR="004564F3" w:rsidRPr="00503712" w:rsidRDefault="004564F3" w:rsidP="00101FD8">
            <w:pPr>
              <w:pStyle w:val="a5"/>
              <w:numPr>
                <w:ilvl w:val="0"/>
                <w:numId w:val="2"/>
              </w:numPr>
              <w:ind w:leftChars="0"/>
              <w:jc w:val="left"/>
              <w:rPr>
                <w:rFonts w:ascii="Calibri" w:hAnsi="Calibri" w:cs="Calibri"/>
              </w:rPr>
            </w:pPr>
            <w:r w:rsidRPr="00503712">
              <w:rPr>
                <w:rFonts w:ascii="Calibri" w:hAnsi="Calibri" w:cs="Calibri"/>
              </w:rPr>
              <w:t>If a clearing member defaults, the customers of the defaulting member may port their positions and collateral, which are held in each customer’s individual segregated accounts at JSCC, to brokerage account(s) held by non-defaulting clearing member(s).</w:t>
            </w:r>
          </w:p>
          <w:p w14:paraId="0FCEBA11" w14:textId="2F86819D" w:rsidR="004564F3" w:rsidRPr="00503712" w:rsidRDefault="004564F3" w:rsidP="00101FD8">
            <w:pPr>
              <w:pStyle w:val="a5"/>
              <w:numPr>
                <w:ilvl w:val="1"/>
                <w:numId w:val="2"/>
              </w:numPr>
              <w:ind w:leftChars="0"/>
              <w:jc w:val="left"/>
              <w:rPr>
                <w:rFonts w:ascii="Calibri" w:hAnsi="Calibri" w:cs="Calibri"/>
              </w:rPr>
            </w:pPr>
            <w:r w:rsidRPr="00503712">
              <w:rPr>
                <w:rFonts w:ascii="Calibri" w:hAnsi="Calibri" w:cs="Calibri"/>
              </w:rPr>
              <w:t xml:space="preserve">Customers </w:t>
            </w:r>
            <w:r w:rsidR="007117AC" w:rsidRPr="00503712">
              <w:rPr>
                <w:rFonts w:ascii="Calibri" w:hAnsi="Calibri" w:cs="Calibri"/>
              </w:rPr>
              <w:t>must</w:t>
            </w:r>
            <w:r w:rsidRPr="00503712">
              <w:rPr>
                <w:rFonts w:ascii="Calibri" w:hAnsi="Calibri" w:cs="Calibri"/>
              </w:rPr>
              <w:t xml:space="preserve"> obtain the prior consent from the non-defaulting clearing member(s) to which they wish to port their positions.</w:t>
            </w:r>
          </w:p>
          <w:p w14:paraId="008F3226" w14:textId="56273794" w:rsidR="004564F3" w:rsidRPr="00503712" w:rsidRDefault="004564F3" w:rsidP="00101FD8">
            <w:pPr>
              <w:pStyle w:val="a5"/>
              <w:numPr>
                <w:ilvl w:val="1"/>
                <w:numId w:val="2"/>
              </w:numPr>
              <w:ind w:leftChars="0"/>
              <w:contextualSpacing/>
              <w:jc w:val="left"/>
              <w:rPr>
                <w:rFonts w:ascii="Calibri" w:hAnsi="Calibri" w:cs="Calibri"/>
              </w:rPr>
            </w:pPr>
            <w:r w:rsidRPr="00503712">
              <w:rPr>
                <w:rFonts w:ascii="Calibri" w:hAnsi="Calibri" w:cs="Calibri"/>
              </w:rPr>
              <w:t xml:space="preserve">The application for porting </w:t>
            </w:r>
            <w:r w:rsidR="007117AC" w:rsidRPr="00503712">
              <w:rPr>
                <w:rFonts w:ascii="Calibri" w:hAnsi="Calibri" w:cs="Calibri"/>
              </w:rPr>
              <w:t>must</w:t>
            </w:r>
            <w:r w:rsidRPr="00503712">
              <w:rPr>
                <w:rFonts w:ascii="Calibri" w:hAnsi="Calibri" w:cs="Calibri"/>
              </w:rPr>
              <w:t xml:space="preserve"> be submitted within two (2) business days from the clearing member’s default.  However, in certain circumstances, JSCC can extend the </w:t>
            </w:r>
            <w:r w:rsidRPr="00503712">
              <w:rPr>
                <w:rFonts w:ascii="Calibri" w:hAnsi="Calibri" w:cs="Calibri"/>
              </w:rPr>
              <w:lastRenderedPageBreak/>
              <w:t>application deadline by up to four (4) additional business days.</w:t>
            </w:r>
          </w:p>
          <w:p w14:paraId="1A10D20A" w14:textId="12568B0C" w:rsidR="00035B55" w:rsidRPr="00503712" w:rsidRDefault="00035B55" w:rsidP="00101FD8">
            <w:pPr>
              <w:pStyle w:val="a5"/>
              <w:numPr>
                <w:ilvl w:val="1"/>
                <w:numId w:val="2"/>
              </w:numPr>
              <w:ind w:leftChars="0"/>
              <w:contextualSpacing/>
              <w:jc w:val="left"/>
              <w:rPr>
                <w:rFonts w:ascii="Calibri" w:hAnsi="Calibri" w:cs="Calibri"/>
              </w:rPr>
            </w:pPr>
            <w:r w:rsidRPr="00503712">
              <w:rPr>
                <w:rFonts w:ascii="Calibri" w:hAnsi="Calibri" w:cs="Calibri"/>
              </w:rPr>
              <w:t>No court approval is required.</w:t>
            </w:r>
          </w:p>
          <w:p w14:paraId="28D40180" w14:textId="77777777" w:rsidR="00F1125F" w:rsidRDefault="00F1125F" w:rsidP="00F1125F">
            <w:pPr>
              <w:pStyle w:val="a5"/>
              <w:ind w:leftChars="0" w:left="420"/>
              <w:jc w:val="left"/>
              <w:rPr>
                <w:rFonts w:ascii="Calibri" w:hAnsi="Calibri" w:cs="Calibri"/>
              </w:rPr>
            </w:pPr>
          </w:p>
          <w:p w14:paraId="245FBEFE" w14:textId="77777777" w:rsidR="004564F3" w:rsidRDefault="004564F3" w:rsidP="00AC4132">
            <w:pPr>
              <w:pStyle w:val="a5"/>
              <w:numPr>
                <w:ilvl w:val="0"/>
                <w:numId w:val="2"/>
              </w:numPr>
              <w:ind w:leftChars="0"/>
              <w:jc w:val="left"/>
              <w:rPr>
                <w:rFonts w:ascii="Calibri" w:hAnsi="Calibri" w:cs="Calibri"/>
              </w:rPr>
            </w:pPr>
            <w:r w:rsidRPr="00503712">
              <w:rPr>
                <w:rFonts w:ascii="Calibri" w:hAnsi="Calibri" w:cs="Calibri"/>
              </w:rPr>
              <w:t xml:space="preserve">If the clearing </w:t>
            </w:r>
            <w:r w:rsidR="005D68B5" w:rsidRPr="00503712">
              <w:rPr>
                <w:rFonts w:ascii="Calibri" w:hAnsi="Calibri" w:cs="Calibri"/>
              </w:rPr>
              <w:t>member</w:t>
            </w:r>
            <w:r w:rsidRPr="00503712">
              <w:rPr>
                <w:rFonts w:ascii="Calibri" w:hAnsi="Calibri" w:cs="Calibri"/>
              </w:rPr>
              <w:t xml:space="preserve"> defaults, customers also have the option to claim directly to JSCC for the return of their customer collateral. JSCC would return customer collateral directly to each customer, after deducting the outstanding amount of obligations that arise from the customer’s own swap trades.</w:t>
            </w:r>
          </w:p>
          <w:p w14:paraId="1B87D1F4" w14:textId="335375A4" w:rsidR="00F1125F" w:rsidRPr="00503712" w:rsidRDefault="00F1125F" w:rsidP="00F1125F">
            <w:pPr>
              <w:pStyle w:val="a5"/>
              <w:ind w:leftChars="0" w:left="420"/>
              <w:jc w:val="left"/>
              <w:rPr>
                <w:rFonts w:ascii="Calibri" w:hAnsi="Calibri" w:cs="Calibri"/>
              </w:rPr>
            </w:pPr>
          </w:p>
        </w:tc>
        <w:tc>
          <w:tcPr>
            <w:tcW w:w="1529" w:type="dxa"/>
          </w:tcPr>
          <w:p w14:paraId="74876F26" w14:textId="105C9C71" w:rsidR="004564F3" w:rsidRPr="00503712" w:rsidRDefault="00A44CD4" w:rsidP="00D578E9">
            <w:pPr>
              <w:jc w:val="left"/>
              <w:rPr>
                <w:rFonts w:ascii="Calibri" w:hAnsi="Calibri" w:cs="Calibri"/>
              </w:rPr>
            </w:pPr>
            <w:r w:rsidRPr="00503712">
              <w:rPr>
                <w:rFonts w:ascii="Calibri" w:hAnsi="Calibri" w:cs="Calibri"/>
              </w:rPr>
              <w:lastRenderedPageBreak/>
              <w:t>Business Rules Article</w:t>
            </w:r>
            <w:r w:rsidR="00675D59" w:rsidRPr="00503712">
              <w:rPr>
                <w:rFonts w:ascii="Calibri" w:hAnsi="Calibri" w:cs="Calibri"/>
              </w:rPr>
              <w:t>s</w:t>
            </w:r>
            <w:r w:rsidR="00D578E9" w:rsidRPr="00503712">
              <w:rPr>
                <w:rFonts w:ascii="Calibri" w:hAnsi="Calibri" w:cs="Calibri"/>
              </w:rPr>
              <w:t xml:space="preserve"> </w:t>
            </w:r>
            <w:r w:rsidR="00675D59" w:rsidRPr="00503712">
              <w:rPr>
                <w:rFonts w:ascii="Calibri" w:hAnsi="Calibri" w:cs="Calibri"/>
              </w:rPr>
              <w:t xml:space="preserve">76.1(1)(a), </w:t>
            </w:r>
            <w:r w:rsidRPr="00503712">
              <w:rPr>
                <w:rFonts w:ascii="Calibri" w:hAnsi="Calibri" w:cs="Calibri"/>
              </w:rPr>
              <w:t>76.4</w:t>
            </w:r>
            <w:r w:rsidR="00D92F3B">
              <w:rPr>
                <w:rFonts w:ascii="Calibri" w:hAnsi="Calibri" w:cs="Calibri"/>
              </w:rPr>
              <w:t>,</w:t>
            </w:r>
            <w:r w:rsidR="00675D59" w:rsidRPr="00503712">
              <w:rPr>
                <w:rFonts w:ascii="Calibri" w:hAnsi="Calibri" w:cs="Calibri"/>
              </w:rPr>
              <w:t xml:space="preserve"> 94.1</w:t>
            </w:r>
            <w:r w:rsidR="00E60F9F" w:rsidRPr="00503712">
              <w:rPr>
                <w:rFonts w:ascii="Calibri" w:hAnsi="Calibri" w:cs="Calibri"/>
              </w:rPr>
              <w:t xml:space="preserve"> and</w:t>
            </w:r>
            <w:r w:rsidR="00675D59" w:rsidRPr="00503712">
              <w:rPr>
                <w:rFonts w:ascii="Calibri" w:hAnsi="Calibri" w:cs="Calibri"/>
              </w:rPr>
              <w:t xml:space="preserve"> 94.3</w:t>
            </w:r>
          </w:p>
          <w:p w14:paraId="0AC00C5B" w14:textId="77777777" w:rsidR="004564F3" w:rsidRPr="00503712" w:rsidRDefault="004564F3" w:rsidP="00101FD8">
            <w:pPr>
              <w:jc w:val="left"/>
              <w:rPr>
                <w:rFonts w:ascii="Calibri" w:hAnsi="Calibri" w:cs="Calibri"/>
              </w:rPr>
            </w:pPr>
          </w:p>
          <w:p w14:paraId="6898E01A" w14:textId="06B284C9" w:rsidR="00675D59" w:rsidRPr="00503712" w:rsidRDefault="00675D59" w:rsidP="00675D59">
            <w:pPr>
              <w:jc w:val="left"/>
              <w:rPr>
                <w:rFonts w:ascii="Calibri" w:hAnsi="Calibri" w:cs="Calibri"/>
              </w:rPr>
            </w:pPr>
            <w:r w:rsidRPr="00503712">
              <w:rPr>
                <w:rFonts w:ascii="Calibri" w:hAnsi="Calibri" w:cs="Calibri"/>
              </w:rPr>
              <w:t>Rules on Default Settlement, Articles 8.1 and 8.2</w:t>
            </w:r>
          </w:p>
          <w:p w14:paraId="099CC753" w14:textId="0DCC6418" w:rsidR="00675D59" w:rsidRPr="00503712" w:rsidRDefault="00675D59" w:rsidP="00675D59">
            <w:pPr>
              <w:jc w:val="left"/>
              <w:rPr>
                <w:rFonts w:ascii="Calibri" w:hAnsi="Calibri" w:cs="Calibri"/>
              </w:rPr>
            </w:pPr>
          </w:p>
          <w:p w14:paraId="7528AE47" w14:textId="2EB43C69" w:rsidR="00675D59" w:rsidRPr="00503712" w:rsidRDefault="00675D59" w:rsidP="00675D59">
            <w:pPr>
              <w:jc w:val="left"/>
              <w:rPr>
                <w:rFonts w:ascii="Calibri" w:hAnsi="Calibri" w:cs="Calibri"/>
              </w:rPr>
            </w:pPr>
            <w:r w:rsidRPr="00503712">
              <w:rPr>
                <w:rFonts w:ascii="Calibri" w:hAnsi="Calibri" w:cs="Calibri"/>
              </w:rPr>
              <w:t>Financial Instruments and Exchange Act of Japan Article 156-11-2.1</w:t>
            </w:r>
          </w:p>
          <w:p w14:paraId="04A6A2CE" w14:textId="77777777" w:rsidR="004564F3" w:rsidRPr="00503712" w:rsidRDefault="004564F3" w:rsidP="00101FD8">
            <w:pPr>
              <w:jc w:val="left"/>
              <w:rPr>
                <w:rFonts w:ascii="Calibri" w:hAnsi="Calibri" w:cs="Calibri"/>
              </w:rPr>
            </w:pPr>
          </w:p>
          <w:p w14:paraId="07C05E9B" w14:textId="77777777" w:rsidR="004564F3" w:rsidRPr="00503712" w:rsidRDefault="004564F3" w:rsidP="00101FD8">
            <w:pPr>
              <w:jc w:val="left"/>
              <w:rPr>
                <w:rFonts w:ascii="Calibri" w:hAnsi="Calibri" w:cs="Calibri"/>
              </w:rPr>
            </w:pPr>
          </w:p>
          <w:p w14:paraId="1BA84B98" w14:textId="691FE691" w:rsidR="004564F3" w:rsidRPr="00503712" w:rsidRDefault="004564F3" w:rsidP="00101FD8">
            <w:pPr>
              <w:jc w:val="left"/>
              <w:rPr>
                <w:rFonts w:ascii="Calibri" w:hAnsi="Calibri" w:cs="Calibri"/>
              </w:rPr>
            </w:pPr>
          </w:p>
          <w:p w14:paraId="16C5D185" w14:textId="77777777" w:rsidR="004564F3" w:rsidRPr="00503712" w:rsidRDefault="004564F3" w:rsidP="00101FD8">
            <w:pPr>
              <w:jc w:val="left"/>
              <w:rPr>
                <w:rFonts w:ascii="Calibri" w:hAnsi="Calibri" w:cs="Calibri"/>
              </w:rPr>
            </w:pPr>
          </w:p>
          <w:p w14:paraId="3E03AB57" w14:textId="77777777" w:rsidR="004564F3" w:rsidRPr="00503712" w:rsidRDefault="004564F3" w:rsidP="00101FD8">
            <w:pPr>
              <w:jc w:val="left"/>
              <w:rPr>
                <w:rFonts w:ascii="Calibri" w:hAnsi="Calibri" w:cs="Calibri"/>
              </w:rPr>
            </w:pPr>
          </w:p>
        </w:tc>
        <w:tc>
          <w:tcPr>
            <w:tcW w:w="4580" w:type="dxa"/>
          </w:tcPr>
          <w:p w14:paraId="1C27EF39" w14:textId="60AFF630" w:rsidR="00D66ABD" w:rsidRPr="00437DFE" w:rsidRDefault="0008777E" w:rsidP="00437DFE">
            <w:pPr>
              <w:pStyle w:val="a5"/>
              <w:numPr>
                <w:ilvl w:val="0"/>
                <w:numId w:val="2"/>
              </w:numPr>
              <w:ind w:leftChars="0"/>
              <w:jc w:val="left"/>
              <w:rPr>
                <w:rFonts w:ascii="Calibri" w:hAnsi="Calibri" w:cs="Calibri"/>
              </w:rPr>
            </w:pPr>
            <w:r w:rsidRPr="00503712">
              <w:rPr>
                <w:rFonts w:ascii="Calibri" w:hAnsi="Calibri" w:cs="Calibri"/>
              </w:rPr>
              <w:lastRenderedPageBreak/>
              <w:t>The customer of an insolvent FCM is afforded priority over other creditors of the FCM in the distribution of the FCM’s customer property</w:t>
            </w:r>
            <w:r w:rsidR="00573D14" w:rsidRPr="00503712">
              <w:rPr>
                <w:rFonts w:ascii="Calibri" w:hAnsi="Calibri" w:cs="Calibri"/>
              </w:rPr>
              <w:t>.</w:t>
            </w:r>
          </w:p>
          <w:p w14:paraId="2AB1E0B2" w14:textId="6ACFA028" w:rsidR="00C71F26" w:rsidRPr="00503712" w:rsidRDefault="00D66ABD" w:rsidP="00101FD8">
            <w:pPr>
              <w:pStyle w:val="a5"/>
              <w:numPr>
                <w:ilvl w:val="0"/>
                <w:numId w:val="2"/>
              </w:numPr>
              <w:ind w:leftChars="0"/>
              <w:jc w:val="left"/>
              <w:rPr>
                <w:rFonts w:ascii="Calibri" w:hAnsi="Calibri" w:cs="Calibri"/>
              </w:rPr>
            </w:pPr>
            <w:r w:rsidRPr="00503712">
              <w:rPr>
                <w:rFonts w:ascii="Calibri" w:hAnsi="Calibri" w:cs="Calibri"/>
              </w:rPr>
              <w:t xml:space="preserve">If </w:t>
            </w:r>
            <w:r w:rsidR="00573D14" w:rsidRPr="00503712">
              <w:rPr>
                <w:rFonts w:ascii="Calibri" w:hAnsi="Calibri" w:cs="Calibri"/>
              </w:rPr>
              <w:t>an</w:t>
            </w:r>
            <w:r w:rsidRPr="00503712">
              <w:rPr>
                <w:rFonts w:ascii="Calibri" w:hAnsi="Calibri" w:cs="Calibri"/>
              </w:rPr>
              <w:t xml:space="preserve"> FCM defaults, the DCO will generally transfer the cleared positions of the FCM’s non-defaulting customers to another FCM.  </w:t>
            </w:r>
          </w:p>
          <w:p w14:paraId="21B2FB57" w14:textId="77777777" w:rsidR="00C71F26" w:rsidRPr="00503712" w:rsidRDefault="00C71F26" w:rsidP="00101FD8">
            <w:pPr>
              <w:jc w:val="left"/>
              <w:rPr>
                <w:rFonts w:ascii="Calibri" w:hAnsi="Calibri" w:cs="Calibri"/>
              </w:rPr>
            </w:pPr>
          </w:p>
          <w:p w14:paraId="38A6A9C3" w14:textId="77777777" w:rsidR="00C71F26" w:rsidRDefault="00C71F26" w:rsidP="00101FD8">
            <w:pPr>
              <w:pStyle w:val="a5"/>
              <w:numPr>
                <w:ilvl w:val="0"/>
                <w:numId w:val="2"/>
              </w:numPr>
              <w:ind w:leftChars="0"/>
              <w:jc w:val="left"/>
              <w:rPr>
                <w:rFonts w:ascii="Calibri" w:hAnsi="Calibri" w:cs="Calibri"/>
              </w:rPr>
            </w:pPr>
            <w:r w:rsidRPr="00503712">
              <w:rPr>
                <w:rFonts w:ascii="Calibri" w:hAnsi="Calibri" w:cs="Calibri"/>
              </w:rPr>
              <w:t>If an FCM defaults, the trustee, the DCO or the FCM must notify the CFTC whether such entity intends to transfer open customer positions to another FCM.</w:t>
            </w:r>
          </w:p>
          <w:p w14:paraId="05DFD1A8" w14:textId="77777777" w:rsidR="00F1125F" w:rsidRPr="00503712" w:rsidRDefault="00F1125F" w:rsidP="00F1125F">
            <w:pPr>
              <w:pStyle w:val="a5"/>
              <w:ind w:leftChars="0" w:left="420"/>
              <w:jc w:val="left"/>
              <w:rPr>
                <w:rFonts w:ascii="Calibri" w:hAnsi="Calibri" w:cs="Calibri"/>
              </w:rPr>
            </w:pPr>
          </w:p>
          <w:p w14:paraId="6CCB743B" w14:textId="77777777" w:rsidR="00C71F26" w:rsidRDefault="00C71F26" w:rsidP="00101FD8">
            <w:pPr>
              <w:pStyle w:val="a5"/>
              <w:numPr>
                <w:ilvl w:val="0"/>
                <w:numId w:val="2"/>
              </w:numPr>
              <w:ind w:leftChars="0"/>
              <w:jc w:val="left"/>
              <w:rPr>
                <w:rFonts w:ascii="Calibri" w:hAnsi="Calibri" w:cs="Calibri"/>
              </w:rPr>
            </w:pPr>
            <w:r w:rsidRPr="00503712">
              <w:rPr>
                <w:rFonts w:ascii="Calibri" w:hAnsi="Calibri" w:cs="Calibri"/>
              </w:rPr>
              <w:t>The trustee will inform the Bankruptcy Court of customer positions and collateral to be transferred by the DCO as part of a bulk transfer to another FCM. Once approved by the Bankruptcy Court, the DCO is free to transfer customer positions and collateral in a single bulk transfer.</w:t>
            </w:r>
          </w:p>
          <w:p w14:paraId="145653F0" w14:textId="77777777" w:rsidR="00F1125F" w:rsidRPr="00503712" w:rsidRDefault="00F1125F" w:rsidP="00F1125F">
            <w:pPr>
              <w:pStyle w:val="a5"/>
              <w:ind w:leftChars="0" w:left="420"/>
              <w:jc w:val="left"/>
              <w:rPr>
                <w:rFonts w:ascii="Calibri" w:hAnsi="Calibri" w:cs="Calibri"/>
              </w:rPr>
            </w:pPr>
          </w:p>
          <w:p w14:paraId="59FDBB2A" w14:textId="77777777" w:rsidR="00573D14" w:rsidRDefault="00C71F26" w:rsidP="00101FD8">
            <w:pPr>
              <w:pStyle w:val="a5"/>
              <w:numPr>
                <w:ilvl w:val="0"/>
                <w:numId w:val="2"/>
              </w:numPr>
              <w:ind w:leftChars="0"/>
              <w:jc w:val="left"/>
              <w:rPr>
                <w:rFonts w:ascii="Calibri" w:hAnsi="Calibri" w:cs="Calibri"/>
              </w:rPr>
            </w:pPr>
            <w:r w:rsidRPr="00503712">
              <w:rPr>
                <w:rFonts w:ascii="Calibri" w:hAnsi="Calibri" w:cs="Calibri"/>
              </w:rPr>
              <w:t xml:space="preserve">Generally, customer accounts that are in </w:t>
            </w:r>
            <w:r w:rsidRPr="00503712">
              <w:rPr>
                <w:rFonts w:ascii="Calibri" w:hAnsi="Calibri" w:cs="Calibri"/>
              </w:rPr>
              <w:lastRenderedPageBreak/>
              <w:t xml:space="preserve">deficit are not included in a bulk transfer and will be liquidated. </w:t>
            </w:r>
            <w:r w:rsidR="00D66ABD" w:rsidRPr="00503712">
              <w:rPr>
                <w:rFonts w:ascii="Calibri" w:hAnsi="Calibri" w:cs="Calibri"/>
              </w:rPr>
              <w:t>If the DCO is unable to do so, the DCO will unwind the defaulting FCM’s customer positions.</w:t>
            </w:r>
          </w:p>
          <w:p w14:paraId="2DE60B17" w14:textId="77777777" w:rsidR="00F1125F" w:rsidRPr="00503712" w:rsidRDefault="00F1125F" w:rsidP="00F1125F">
            <w:pPr>
              <w:pStyle w:val="a5"/>
              <w:ind w:leftChars="0" w:left="420"/>
              <w:jc w:val="left"/>
              <w:rPr>
                <w:rFonts w:ascii="Calibri" w:hAnsi="Calibri" w:cs="Calibri"/>
              </w:rPr>
            </w:pPr>
          </w:p>
          <w:p w14:paraId="7B0966E6" w14:textId="515F0810" w:rsidR="00D66ABD" w:rsidRDefault="00D66ABD" w:rsidP="00101FD8">
            <w:pPr>
              <w:pStyle w:val="a5"/>
              <w:numPr>
                <w:ilvl w:val="0"/>
                <w:numId w:val="2"/>
              </w:numPr>
              <w:ind w:leftChars="0"/>
              <w:jc w:val="left"/>
              <w:rPr>
                <w:rFonts w:ascii="Calibri" w:hAnsi="Calibri" w:cs="Calibri"/>
              </w:rPr>
            </w:pPr>
            <w:r w:rsidRPr="00503712">
              <w:rPr>
                <w:rFonts w:ascii="Calibri" w:hAnsi="Calibri" w:cs="Calibri"/>
              </w:rPr>
              <w:t xml:space="preserve">Any remaining collateral will be distributed per the </w:t>
            </w:r>
            <w:r w:rsidR="00BD0CB9">
              <w:rPr>
                <w:rFonts w:ascii="Calibri" w:hAnsi="Calibri" w:cs="Calibri" w:hint="eastAsia"/>
              </w:rPr>
              <w:t>t</w:t>
            </w:r>
            <w:r w:rsidRPr="00503712">
              <w:rPr>
                <w:rFonts w:ascii="Calibri" w:hAnsi="Calibri" w:cs="Calibri"/>
              </w:rPr>
              <w:t>rustee’s instructions.</w:t>
            </w:r>
          </w:p>
          <w:p w14:paraId="729B83DA" w14:textId="77777777" w:rsidR="00F1125F" w:rsidRDefault="00F1125F" w:rsidP="00F1125F">
            <w:pPr>
              <w:pStyle w:val="a5"/>
              <w:ind w:leftChars="0" w:left="420"/>
              <w:jc w:val="left"/>
              <w:rPr>
                <w:rFonts w:ascii="Calibri" w:hAnsi="Calibri" w:cs="Calibri"/>
              </w:rPr>
            </w:pPr>
          </w:p>
          <w:p w14:paraId="531E2925" w14:textId="77777777" w:rsidR="004564F3" w:rsidRDefault="003528C2" w:rsidP="00AC4132">
            <w:pPr>
              <w:pStyle w:val="a5"/>
              <w:numPr>
                <w:ilvl w:val="0"/>
                <w:numId w:val="2"/>
              </w:numPr>
              <w:ind w:leftChars="0"/>
              <w:jc w:val="left"/>
              <w:rPr>
                <w:rFonts w:ascii="Calibri" w:hAnsi="Calibri" w:cs="Calibri"/>
              </w:rPr>
            </w:pPr>
            <w:r>
              <w:rPr>
                <w:rFonts w:ascii="Calibri" w:hAnsi="Calibri" w:cs="Calibri"/>
              </w:rPr>
              <w:t xml:space="preserve">If a CCP defaults, </w:t>
            </w:r>
            <w:r w:rsidR="00251AE7">
              <w:rPr>
                <w:rFonts w:ascii="Calibri" w:hAnsi="Calibri" w:cs="Calibri"/>
              </w:rPr>
              <w:t xml:space="preserve">it would be subject to the same regime described above for FCMs. </w:t>
            </w:r>
          </w:p>
          <w:p w14:paraId="2DD10225" w14:textId="23D4E56E" w:rsidR="00F1125F" w:rsidRPr="00503712" w:rsidRDefault="00F1125F" w:rsidP="00F1125F">
            <w:pPr>
              <w:pStyle w:val="a5"/>
              <w:ind w:leftChars="0" w:left="420"/>
              <w:jc w:val="left"/>
              <w:rPr>
                <w:rFonts w:ascii="Calibri" w:hAnsi="Calibri" w:cs="Calibri"/>
              </w:rPr>
            </w:pPr>
          </w:p>
        </w:tc>
        <w:tc>
          <w:tcPr>
            <w:tcW w:w="1855" w:type="dxa"/>
          </w:tcPr>
          <w:p w14:paraId="48BDAC70" w14:textId="3D95EFB3" w:rsidR="00573D14" w:rsidRPr="00503712" w:rsidRDefault="004564F3" w:rsidP="00101FD8">
            <w:pPr>
              <w:jc w:val="left"/>
              <w:rPr>
                <w:rFonts w:ascii="Calibri" w:hAnsi="Calibri" w:cs="Calibri"/>
              </w:rPr>
            </w:pPr>
            <w:r w:rsidRPr="00503712">
              <w:rPr>
                <w:rFonts w:ascii="Calibri" w:hAnsi="Calibri" w:cs="Calibri"/>
              </w:rPr>
              <w:lastRenderedPageBreak/>
              <w:t>Subchapter IV of Chapter 7 of th</w:t>
            </w:r>
            <w:r w:rsidR="00573D14" w:rsidRPr="00503712">
              <w:rPr>
                <w:rFonts w:ascii="Calibri" w:hAnsi="Calibri" w:cs="Calibri"/>
              </w:rPr>
              <w:t>e</w:t>
            </w:r>
          </w:p>
          <w:p w14:paraId="7DB0C7A8" w14:textId="77777777" w:rsidR="00573D14" w:rsidRPr="00503712" w:rsidRDefault="00573D14" w:rsidP="00101FD8">
            <w:pPr>
              <w:jc w:val="left"/>
              <w:rPr>
                <w:rFonts w:ascii="Calibri" w:hAnsi="Calibri" w:cs="Calibri"/>
              </w:rPr>
            </w:pPr>
            <w:r w:rsidRPr="00503712">
              <w:rPr>
                <w:rFonts w:ascii="Calibri" w:hAnsi="Calibri" w:cs="Calibri"/>
              </w:rPr>
              <w:t xml:space="preserve">U.S. </w:t>
            </w:r>
            <w:r w:rsidR="004564F3" w:rsidRPr="00503712">
              <w:rPr>
                <w:rFonts w:ascii="Calibri" w:hAnsi="Calibri" w:cs="Calibri"/>
              </w:rPr>
              <w:t>Bankruptcy Code</w:t>
            </w:r>
          </w:p>
          <w:p w14:paraId="1E2227AF" w14:textId="77777777" w:rsidR="004564F3" w:rsidRPr="00503712" w:rsidRDefault="004564F3" w:rsidP="00101FD8">
            <w:pPr>
              <w:jc w:val="left"/>
              <w:rPr>
                <w:rFonts w:ascii="Calibri" w:hAnsi="Calibri" w:cs="Calibri"/>
              </w:rPr>
            </w:pPr>
            <w:r w:rsidRPr="00503712">
              <w:rPr>
                <w:rFonts w:ascii="Calibri" w:hAnsi="Calibri" w:cs="Calibri"/>
              </w:rPr>
              <w:t>Part 190 of the CFTC Regulations</w:t>
            </w:r>
          </w:p>
          <w:p w14:paraId="10BA44FE" w14:textId="77777777" w:rsidR="00573D14" w:rsidRPr="00503712" w:rsidRDefault="00573D14" w:rsidP="00101FD8">
            <w:pPr>
              <w:jc w:val="left"/>
              <w:rPr>
                <w:rFonts w:ascii="Calibri" w:hAnsi="Calibri" w:cs="Calibri"/>
              </w:rPr>
            </w:pPr>
          </w:p>
          <w:p w14:paraId="0B44F83A" w14:textId="77777777" w:rsidR="00573D14" w:rsidRPr="00503712" w:rsidRDefault="00573D14" w:rsidP="00101FD8">
            <w:pPr>
              <w:jc w:val="left"/>
              <w:rPr>
                <w:rFonts w:ascii="Calibri" w:hAnsi="Calibri" w:cs="Calibri"/>
              </w:rPr>
            </w:pPr>
            <w:r w:rsidRPr="00503712">
              <w:rPr>
                <w:rFonts w:ascii="Calibri" w:hAnsi="Calibri" w:cs="Calibri"/>
              </w:rPr>
              <w:t xml:space="preserve">(CFTC Rules 190.02, 190.06) </w:t>
            </w:r>
          </w:p>
          <w:p w14:paraId="7EAF07AC" w14:textId="13A86402" w:rsidR="00573D14" w:rsidRPr="00503712" w:rsidRDefault="00573D14" w:rsidP="00101FD8">
            <w:pPr>
              <w:jc w:val="left"/>
              <w:rPr>
                <w:rFonts w:ascii="Calibri" w:hAnsi="Calibri" w:cs="Calibri"/>
              </w:rPr>
            </w:pPr>
            <w:r w:rsidRPr="00503712">
              <w:rPr>
                <w:rFonts w:ascii="Calibri" w:hAnsi="Calibri" w:cs="Calibri"/>
              </w:rPr>
              <w:t>CFTC Rule 39.16</w:t>
            </w:r>
          </w:p>
        </w:tc>
      </w:tr>
      <w:tr w:rsidR="00C017DF" w:rsidRPr="00503712" w14:paraId="12614CB5" w14:textId="77777777" w:rsidTr="001B7804">
        <w:tc>
          <w:tcPr>
            <w:tcW w:w="376" w:type="dxa"/>
          </w:tcPr>
          <w:p w14:paraId="7320A27F" w14:textId="3913688B" w:rsidR="00C017DF" w:rsidRPr="00503712" w:rsidRDefault="00C017DF" w:rsidP="00101FD8">
            <w:pPr>
              <w:jc w:val="left"/>
              <w:rPr>
                <w:rFonts w:ascii="Calibri" w:hAnsi="Calibri" w:cs="Calibri"/>
              </w:rPr>
            </w:pPr>
            <w:r w:rsidRPr="00503712">
              <w:rPr>
                <w:rFonts w:ascii="Calibri" w:hAnsi="Calibri" w:cs="Calibri"/>
              </w:rPr>
              <w:lastRenderedPageBreak/>
              <w:t>4.</w:t>
            </w:r>
          </w:p>
        </w:tc>
        <w:tc>
          <w:tcPr>
            <w:tcW w:w="1261" w:type="dxa"/>
          </w:tcPr>
          <w:p w14:paraId="4606D8E6" w14:textId="45AC8D6F" w:rsidR="00C017DF" w:rsidRPr="00503712" w:rsidRDefault="00C017DF" w:rsidP="00101FD8">
            <w:pPr>
              <w:jc w:val="left"/>
              <w:rPr>
                <w:rFonts w:ascii="Calibri" w:hAnsi="Calibri" w:cs="Calibri"/>
              </w:rPr>
            </w:pPr>
            <w:r w:rsidRPr="00503712">
              <w:rPr>
                <w:rFonts w:ascii="Calibri" w:hAnsi="Calibri" w:cs="Calibri"/>
              </w:rPr>
              <w:t>Delivery of Customer Collateral to the Trust Bank</w:t>
            </w:r>
          </w:p>
        </w:tc>
        <w:tc>
          <w:tcPr>
            <w:tcW w:w="6134" w:type="dxa"/>
          </w:tcPr>
          <w:p w14:paraId="35CC566E" w14:textId="5511D9BB" w:rsidR="007C0799" w:rsidRPr="00AC4132" w:rsidRDefault="00C017DF" w:rsidP="00AC4132">
            <w:pPr>
              <w:pStyle w:val="a5"/>
              <w:numPr>
                <w:ilvl w:val="0"/>
                <w:numId w:val="11"/>
              </w:numPr>
              <w:ind w:leftChars="0"/>
              <w:jc w:val="left"/>
              <w:rPr>
                <w:rFonts w:ascii="Calibri" w:hAnsi="Calibri" w:cs="Calibri"/>
              </w:rPr>
            </w:pPr>
            <w:r w:rsidRPr="00AC4132">
              <w:rPr>
                <w:rFonts w:ascii="Calibri" w:hAnsi="Calibri" w:cs="Calibri"/>
              </w:rPr>
              <w:t xml:space="preserve">Customer collateral is delivered to JSCC or the clearing </w:t>
            </w:r>
            <w:r w:rsidR="005D68B5" w:rsidRPr="00AC4132">
              <w:rPr>
                <w:rFonts w:ascii="Calibri" w:hAnsi="Calibri" w:cs="Calibri"/>
              </w:rPr>
              <w:t>member</w:t>
            </w:r>
            <w:r w:rsidRPr="00AC4132">
              <w:rPr>
                <w:rFonts w:ascii="Calibri" w:hAnsi="Calibri" w:cs="Calibri"/>
              </w:rPr>
              <w:t xml:space="preserve"> (as payment agent) via such entity’s BOJ account.  Such customer collateral is at all times segregated </w:t>
            </w:r>
            <w:r w:rsidR="007117AC" w:rsidRPr="00AC4132">
              <w:rPr>
                <w:rFonts w:ascii="Calibri" w:hAnsi="Calibri" w:cs="Calibri"/>
              </w:rPr>
              <w:t>(</w:t>
            </w:r>
            <w:r w:rsidRPr="00AC4132">
              <w:rPr>
                <w:rFonts w:ascii="Calibri" w:hAnsi="Calibri" w:cs="Calibri"/>
              </w:rPr>
              <w:t>as described above</w:t>
            </w:r>
            <w:r w:rsidR="007117AC" w:rsidRPr="00AC4132">
              <w:rPr>
                <w:rFonts w:ascii="Calibri" w:hAnsi="Calibri" w:cs="Calibri"/>
              </w:rPr>
              <w:t>)</w:t>
            </w:r>
            <w:r w:rsidRPr="00AC4132">
              <w:rPr>
                <w:rFonts w:ascii="Calibri" w:hAnsi="Calibri" w:cs="Calibri"/>
              </w:rPr>
              <w:t>. During the very brief period in which the customer collateral remains at the BOJ</w:t>
            </w:r>
            <w:r w:rsidR="007117AC" w:rsidRPr="00AC4132">
              <w:rPr>
                <w:rFonts w:ascii="Calibri" w:hAnsi="Calibri" w:cs="Calibri"/>
              </w:rPr>
              <w:t>,</w:t>
            </w:r>
            <w:r w:rsidRPr="00AC4132">
              <w:rPr>
                <w:rFonts w:ascii="Calibri" w:hAnsi="Calibri" w:cs="Calibri"/>
              </w:rPr>
              <w:t xml:space="preserve"> subject to transit to the trust bank, such collat</w:t>
            </w:r>
            <w:r w:rsidR="007C0799" w:rsidRPr="00AC4132">
              <w:rPr>
                <w:rFonts w:ascii="Calibri" w:hAnsi="Calibri" w:cs="Calibri"/>
              </w:rPr>
              <w:t xml:space="preserve">eral is not bankruptcy remote. </w:t>
            </w:r>
            <w:r w:rsidRPr="00AC4132">
              <w:rPr>
                <w:rFonts w:ascii="Calibri" w:hAnsi="Calibri" w:cs="Calibri"/>
              </w:rPr>
              <w:t xml:space="preserve"> </w:t>
            </w:r>
          </w:p>
          <w:p w14:paraId="684A4FAF" w14:textId="77777777" w:rsidR="00F1125F" w:rsidRDefault="00F1125F" w:rsidP="00F1125F">
            <w:pPr>
              <w:pStyle w:val="a5"/>
              <w:ind w:leftChars="0" w:left="420"/>
              <w:jc w:val="left"/>
              <w:rPr>
                <w:rFonts w:ascii="Calibri" w:hAnsi="Calibri" w:cs="Calibri"/>
              </w:rPr>
            </w:pPr>
          </w:p>
          <w:p w14:paraId="0FBBC5A7" w14:textId="25E8BD43" w:rsidR="00C017DF" w:rsidRPr="00AC4132" w:rsidRDefault="00C017DF" w:rsidP="00AC4132">
            <w:pPr>
              <w:pStyle w:val="a5"/>
              <w:numPr>
                <w:ilvl w:val="0"/>
                <w:numId w:val="11"/>
              </w:numPr>
              <w:ind w:leftChars="0"/>
              <w:jc w:val="left"/>
              <w:rPr>
                <w:rFonts w:ascii="Calibri" w:hAnsi="Calibri" w:cs="Calibri"/>
              </w:rPr>
            </w:pPr>
            <w:r w:rsidRPr="00AC4132">
              <w:rPr>
                <w:rFonts w:ascii="Calibri" w:hAnsi="Calibri" w:cs="Calibri"/>
              </w:rPr>
              <w:t xml:space="preserve">However, the period of time in which customer collateral is subject to this transit process can be effectively managed by the </w:t>
            </w:r>
            <w:r w:rsidRPr="00AC4132">
              <w:rPr>
                <w:rFonts w:ascii="Calibri" w:hAnsi="Calibri" w:cs="Calibri"/>
              </w:rPr>
              <w:lastRenderedPageBreak/>
              <w:t xml:space="preserve">customer or its agent, since (i) clearing </w:t>
            </w:r>
            <w:r w:rsidR="005D68B5" w:rsidRPr="00AC4132">
              <w:rPr>
                <w:rFonts w:ascii="Calibri" w:hAnsi="Calibri" w:cs="Calibri"/>
              </w:rPr>
              <w:t>members</w:t>
            </w:r>
            <w:r w:rsidRPr="00AC4132">
              <w:rPr>
                <w:rFonts w:ascii="Calibri" w:hAnsi="Calibri" w:cs="Calibri"/>
              </w:rPr>
              <w:t xml:space="preserve"> are required by JSCC rules to deliver all customer collateral to JSCC</w:t>
            </w:r>
            <w:r w:rsidRPr="00437DFE">
              <w:rPr>
                <w:vertAlign w:val="superscript"/>
              </w:rPr>
              <w:footnoteReference w:id="9"/>
            </w:r>
            <w:r w:rsidR="007C0799" w:rsidRPr="00AC4132">
              <w:rPr>
                <w:rFonts w:ascii="Calibri" w:hAnsi="Calibri" w:cs="Calibri"/>
              </w:rPr>
              <w:t xml:space="preserve"> </w:t>
            </w:r>
            <w:r w:rsidRPr="00AC4132">
              <w:rPr>
                <w:rFonts w:ascii="Calibri" w:hAnsi="Calibri" w:cs="Calibri"/>
              </w:rPr>
              <w:t>without delay and by the deadline of each margin call (11:00 and 15:30), and (ii) the exact time (11:30, 15:30 and 16:30)</w:t>
            </w:r>
            <w:r w:rsidR="001A7731" w:rsidRPr="00437DFE">
              <w:rPr>
                <w:vertAlign w:val="superscript"/>
              </w:rPr>
              <w:footnoteReference w:id="10"/>
            </w:r>
            <w:r w:rsidRPr="00AC4132">
              <w:rPr>
                <w:rFonts w:ascii="Calibri" w:hAnsi="Calibri" w:cs="Calibri"/>
              </w:rPr>
              <w:t xml:space="preserve"> at which JSCC delivers customer collateral to the trust bank</w:t>
            </w:r>
            <w:r w:rsidR="00AA5495" w:rsidRPr="00AC4132">
              <w:rPr>
                <w:rFonts w:ascii="Calibri" w:hAnsi="Calibri" w:cs="Calibri"/>
              </w:rPr>
              <w:t xml:space="preserve"> are prescribed</w:t>
            </w:r>
            <w:r w:rsidR="007117AC" w:rsidRPr="00AC4132">
              <w:rPr>
                <w:rFonts w:ascii="Calibri" w:hAnsi="Calibri" w:cs="Calibri"/>
              </w:rPr>
              <w:t xml:space="preserve">. </w:t>
            </w:r>
            <w:r w:rsidRPr="00AC4132">
              <w:rPr>
                <w:rFonts w:ascii="Calibri" w:hAnsi="Calibri" w:cs="Calibri"/>
              </w:rPr>
              <w:t xml:space="preserve">Thus, if a customer delivers collateral to </w:t>
            </w:r>
            <w:r w:rsidR="001805CA" w:rsidRPr="00AC4132">
              <w:rPr>
                <w:rFonts w:ascii="Calibri" w:hAnsi="Calibri" w:cs="Calibri"/>
              </w:rPr>
              <w:t>its</w:t>
            </w:r>
            <w:r w:rsidRPr="00AC4132">
              <w:rPr>
                <w:rFonts w:ascii="Calibri" w:hAnsi="Calibri" w:cs="Calibri"/>
              </w:rPr>
              <w:t xml:space="preserve"> clearing </w:t>
            </w:r>
            <w:r w:rsidR="001805CA" w:rsidRPr="00AC4132">
              <w:rPr>
                <w:rFonts w:ascii="Calibri" w:hAnsi="Calibri" w:cs="Calibri"/>
              </w:rPr>
              <w:t>member</w:t>
            </w:r>
            <w:r w:rsidRPr="00AC4132">
              <w:rPr>
                <w:rFonts w:ascii="Calibri" w:hAnsi="Calibri" w:cs="Calibri"/>
              </w:rPr>
              <w:t xml:space="preserve"> immediately before the prescribed time, the time period in which the collateral remains in transit during the settlement process can be shortened</w:t>
            </w:r>
            <w:r w:rsidR="007117AC" w:rsidRPr="00AC4132">
              <w:rPr>
                <w:rFonts w:ascii="Calibri" w:hAnsi="Calibri" w:cs="Calibri"/>
              </w:rPr>
              <w:t xml:space="preserve">, </w:t>
            </w:r>
            <w:r w:rsidR="008417E7" w:rsidRPr="00AC4132">
              <w:rPr>
                <w:rFonts w:ascii="Calibri" w:hAnsi="Calibri" w:cs="Calibri"/>
              </w:rPr>
              <w:t>which would</w:t>
            </w:r>
            <w:r w:rsidRPr="00AC4132">
              <w:rPr>
                <w:rFonts w:ascii="Calibri" w:hAnsi="Calibri" w:cs="Calibri"/>
              </w:rPr>
              <w:t xml:space="preserve"> mitigat</w:t>
            </w:r>
            <w:r w:rsidR="008417E7" w:rsidRPr="00AC4132">
              <w:rPr>
                <w:rFonts w:ascii="Calibri" w:hAnsi="Calibri" w:cs="Calibri"/>
              </w:rPr>
              <w:t>e</w:t>
            </w:r>
            <w:r w:rsidRPr="00AC4132">
              <w:rPr>
                <w:rFonts w:ascii="Calibri" w:hAnsi="Calibri" w:cs="Calibri"/>
              </w:rPr>
              <w:t xml:space="preserve"> the risk of loss to the customer</w:t>
            </w:r>
            <w:r w:rsidR="001805CA" w:rsidRPr="00AC4132">
              <w:rPr>
                <w:rFonts w:ascii="Calibri" w:hAnsi="Calibri" w:cs="Calibri"/>
              </w:rPr>
              <w:t xml:space="preserve"> due to a bankruptcy of JSCC</w:t>
            </w:r>
            <w:r w:rsidRPr="00AC4132">
              <w:rPr>
                <w:rFonts w:ascii="Calibri" w:hAnsi="Calibri" w:cs="Calibri"/>
              </w:rPr>
              <w:t>.</w:t>
            </w:r>
          </w:p>
        </w:tc>
        <w:tc>
          <w:tcPr>
            <w:tcW w:w="1529" w:type="dxa"/>
          </w:tcPr>
          <w:p w14:paraId="5F60A044" w14:textId="43A26063" w:rsidR="00DC16A8" w:rsidRPr="00503712" w:rsidRDefault="008E5BD9" w:rsidP="00101FD8">
            <w:pPr>
              <w:jc w:val="left"/>
              <w:rPr>
                <w:rFonts w:ascii="Calibri" w:hAnsi="Calibri" w:cs="Calibri"/>
              </w:rPr>
            </w:pPr>
            <w:r w:rsidRPr="00503712">
              <w:rPr>
                <w:rFonts w:ascii="Calibri" w:hAnsi="Calibri" w:cs="Calibri"/>
              </w:rPr>
              <w:lastRenderedPageBreak/>
              <w:t>Business Rules Article</w:t>
            </w:r>
            <w:r w:rsidR="000F3A39" w:rsidRPr="00503712">
              <w:rPr>
                <w:rFonts w:ascii="Calibri" w:hAnsi="Calibri" w:cs="Calibri"/>
              </w:rPr>
              <w:t xml:space="preserve">s 63(2), </w:t>
            </w:r>
            <w:r w:rsidR="00DC16A8" w:rsidRPr="00503712">
              <w:rPr>
                <w:rFonts w:ascii="Calibri" w:hAnsi="Calibri" w:cs="Calibri"/>
              </w:rPr>
              <w:t>66.1, 70.1, 72.1</w:t>
            </w:r>
            <w:r w:rsidR="00E60F9F" w:rsidRPr="00503712">
              <w:rPr>
                <w:rFonts w:ascii="Calibri" w:hAnsi="Calibri" w:cs="Calibri"/>
              </w:rPr>
              <w:t xml:space="preserve"> and</w:t>
            </w:r>
            <w:r w:rsidR="00DC16A8" w:rsidRPr="00503712">
              <w:rPr>
                <w:rFonts w:ascii="Calibri" w:hAnsi="Calibri" w:cs="Calibri"/>
              </w:rPr>
              <w:t xml:space="preserve"> 72.2  </w:t>
            </w:r>
          </w:p>
          <w:p w14:paraId="37BA47EC" w14:textId="5D846C18" w:rsidR="008E5BD9" w:rsidRPr="00503712" w:rsidRDefault="008E5BD9" w:rsidP="00101FD8">
            <w:pPr>
              <w:jc w:val="left"/>
              <w:rPr>
                <w:rFonts w:ascii="Calibri" w:hAnsi="Calibri" w:cs="Calibri"/>
              </w:rPr>
            </w:pPr>
          </w:p>
          <w:p w14:paraId="2E63A76D" w14:textId="77777777" w:rsidR="008E5BD9" w:rsidRPr="00503712" w:rsidRDefault="008E5BD9" w:rsidP="00101FD8">
            <w:pPr>
              <w:jc w:val="left"/>
              <w:rPr>
                <w:rFonts w:ascii="Calibri" w:hAnsi="Calibri" w:cs="Calibri"/>
              </w:rPr>
            </w:pPr>
            <w:r w:rsidRPr="00503712">
              <w:rPr>
                <w:rFonts w:ascii="Calibri" w:hAnsi="Calibri" w:cs="Calibri"/>
              </w:rPr>
              <w:t>Handling Procedures Article 43.2</w:t>
            </w:r>
          </w:p>
          <w:p w14:paraId="0B1FF7C8" w14:textId="77777777" w:rsidR="007C0799" w:rsidRPr="00503712" w:rsidRDefault="007C0799" w:rsidP="00101FD8">
            <w:pPr>
              <w:jc w:val="left"/>
              <w:rPr>
                <w:rFonts w:ascii="Calibri" w:hAnsi="Calibri" w:cs="Calibri"/>
              </w:rPr>
            </w:pPr>
          </w:p>
          <w:p w14:paraId="319A3FD5" w14:textId="2D3D4707" w:rsidR="007C0799" w:rsidRPr="00503712" w:rsidRDefault="007C0799" w:rsidP="00101FD8">
            <w:pPr>
              <w:jc w:val="left"/>
              <w:rPr>
                <w:rFonts w:ascii="Calibri" w:hAnsi="Calibri" w:cs="Calibri"/>
              </w:rPr>
            </w:pPr>
          </w:p>
        </w:tc>
        <w:tc>
          <w:tcPr>
            <w:tcW w:w="4580" w:type="dxa"/>
          </w:tcPr>
          <w:p w14:paraId="058F8FA5" w14:textId="50338F9D" w:rsidR="00C017DF" w:rsidRPr="00503712" w:rsidRDefault="006478FA" w:rsidP="00101FD8">
            <w:pPr>
              <w:pStyle w:val="a5"/>
              <w:numPr>
                <w:ilvl w:val="0"/>
                <w:numId w:val="2"/>
              </w:numPr>
              <w:ind w:leftChars="0"/>
              <w:jc w:val="left"/>
              <w:rPr>
                <w:rFonts w:ascii="Calibri" w:hAnsi="Calibri" w:cs="Calibri"/>
              </w:rPr>
            </w:pPr>
            <w:r w:rsidRPr="00503712">
              <w:rPr>
                <w:rFonts w:ascii="Calibri" w:hAnsi="Calibri" w:cs="Calibri"/>
              </w:rPr>
              <w:lastRenderedPageBreak/>
              <w:t xml:space="preserve">Customer funds are at all times legally segregated from the funds of other customers and the proprietary funds of the DCO or FCM and are afforded priority under the U.S. Bankruptcy Code. </w:t>
            </w:r>
          </w:p>
        </w:tc>
        <w:tc>
          <w:tcPr>
            <w:tcW w:w="1855" w:type="dxa"/>
          </w:tcPr>
          <w:p w14:paraId="6F86686F" w14:textId="0C5B8A8B" w:rsidR="00C017DF" w:rsidRPr="00503712" w:rsidRDefault="006478FA" w:rsidP="00101FD8">
            <w:pPr>
              <w:jc w:val="left"/>
              <w:rPr>
                <w:rFonts w:ascii="Calibri" w:hAnsi="Calibri" w:cs="Calibri"/>
              </w:rPr>
            </w:pPr>
            <w:r w:rsidRPr="00503712">
              <w:rPr>
                <w:rFonts w:ascii="Calibri" w:hAnsi="Calibri" w:cs="Calibri"/>
              </w:rPr>
              <w:t>U.S. Bankruptcy Code and Part 190 of the CFTC Regulations</w:t>
            </w:r>
          </w:p>
        </w:tc>
      </w:tr>
    </w:tbl>
    <w:p w14:paraId="7048C8FD" w14:textId="77777777" w:rsidR="00AC4132" w:rsidRPr="00503712" w:rsidRDefault="00AC4132" w:rsidP="00AC4132">
      <w:pPr>
        <w:jc w:val="left"/>
        <w:rPr>
          <w:rFonts w:ascii="Calibri" w:hAnsi="Calibri" w:cs="Calibri"/>
        </w:rPr>
      </w:pPr>
    </w:p>
    <w:sectPr w:rsidR="00AC4132" w:rsidRPr="00503712" w:rsidSect="001F76F0">
      <w:headerReference w:type="even" r:id="rId9"/>
      <w:headerReference w:type="default" r:id="rId10"/>
      <w:footerReference w:type="even" r:id="rId11"/>
      <w:footerReference w:type="default" r:id="rId12"/>
      <w:headerReference w:type="first" r:id="rId13"/>
      <w:footerReference w:type="first" r:id="rId14"/>
      <w:pgSz w:w="16838" w:h="11906" w:orient="landscape" w:code="9"/>
      <w:pgMar w:top="720" w:right="720" w:bottom="720" w:left="720" w:header="850" w:footer="994" w:gutter="0"/>
      <w:cols w:space="425"/>
      <w:titlePg/>
      <w:docGrid w:type="lines"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E0C02A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3CDCF3" w16cid:durableId="21656075"/>
  <w16cid:commentId w16cid:paraId="38E1401A" w16cid:durableId="21656076"/>
  <w16cid:commentId w16cid:paraId="050DC915" w16cid:durableId="21656077"/>
  <w16cid:commentId w16cid:paraId="052DF319" w16cid:durableId="2165607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5D8CB2" w14:textId="77777777" w:rsidR="000D55F8" w:rsidRDefault="000D55F8" w:rsidP="00B64543">
      <w:r>
        <w:separator/>
      </w:r>
    </w:p>
  </w:endnote>
  <w:endnote w:type="continuationSeparator" w:id="0">
    <w:p w14:paraId="167391ED" w14:textId="77777777" w:rsidR="000D55F8" w:rsidRDefault="000D55F8" w:rsidP="00B64543">
      <w:r>
        <w:continuationSeparator/>
      </w:r>
    </w:p>
  </w:endnote>
  <w:endnote w:type="continuationNotice" w:id="1">
    <w:p w14:paraId="18B60C20" w14:textId="77777777" w:rsidR="000D55F8" w:rsidRDefault="000D55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subsetted="1" w:fontKey="{31CC8CED-96CD-4028-9C49-A3518B91DFF5}"/>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2" w:fontKey="{4C06F39C-AD09-4BE4-8C0A-50430BE696D7}"/>
    <w:embedBold r:id="rId3" w:fontKey="{FEB91CD3-6340-4977-A99A-A6A49BEC1714}"/>
    <w:embedItalic r:id="rId4" w:fontKey="{77342889-2FD6-40EB-8543-3D04306000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5B7C8" w14:textId="77777777" w:rsidR="000C6901" w:rsidRDefault="000C690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244790"/>
      <w:docPartObj>
        <w:docPartGallery w:val="Page Numbers (Bottom of Page)"/>
        <w:docPartUnique/>
      </w:docPartObj>
    </w:sdtPr>
    <w:sdtEndPr>
      <w:rPr>
        <w:rFonts w:ascii="Calibri" w:hAnsi="Calibri" w:cs="Calibri"/>
      </w:rPr>
    </w:sdtEndPr>
    <w:sdtContent>
      <w:p w14:paraId="3BBDC998" w14:textId="2A6C0F26" w:rsidR="000D55F8" w:rsidRPr="00503712" w:rsidRDefault="000D55F8" w:rsidP="0064557D">
        <w:pPr>
          <w:pStyle w:val="a8"/>
          <w:jc w:val="center"/>
          <w:rPr>
            <w:rFonts w:ascii="Calibri" w:hAnsi="Calibri" w:cs="Calibri"/>
          </w:rPr>
        </w:pPr>
        <w:r w:rsidRPr="00503712">
          <w:rPr>
            <w:rFonts w:ascii="Calibri" w:hAnsi="Calibri" w:cs="Calibri"/>
          </w:rPr>
          <w:fldChar w:fldCharType="begin"/>
        </w:r>
        <w:r w:rsidRPr="00503712">
          <w:rPr>
            <w:rFonts w:ascii="Calibri" w:hAnsi="Calibri" w:cs="Calibri"/>
          </w:rPr>
          <w:instrText>PAGE   \* MERGEFORMAT</w:instrText>
        </w:r>
        <w:r w:rsidRPr="00503712">
          <w:rPr>
            <w:rFonts w:ascii="Calibri" w:hAnsi="Calibri" w:cs="Calibri"/>
          </w:rPr>
          <w:fldChar w:fldCharType="separate"/>
        </w:r>
        <w:r w:rsidR="000C6901" w:rsidRPr="000C6901">
          <w:rPr>
            <w:rFonts w:ascii="Calibri" w:hAnsi="Calibri" w:cs="Calibri"/>
            <w:noProof/>
            <w:lang w:val="ja-JP"/>
          </w:rPr>
          <w:t>2</w:t>
        </w:r>
        <w:r w:rsidRPr="00503712">
          <w:rPr>
            <w:rFonts w:ascii="Calibri" w:hAnsi="Calibri" w:cs="Calibri"/>
          </w:rPr>
          <w:fldChar w:fldCharType="end"/>
        </w:r>
      </w:p>
    </w:sdtContent>
  </w:sdt>
  <w:p w14:paraId="42E2BC51" w14:textId="77777777" w:rsidR="000D55F8" w:rsidRPr="00503712" w:rsidRDefault="000D55F8" w:rsidP="0064557D">
    <w:pPr>
      <w:pStyle w:val="a8"/>
      <w:rPr>
        <w:rFonts w:ascii="Calibri" w:hAnsi="Calibri"/>
      </w:rPr>
    </w:pPr>
  </w:p>
  <w:p w14:paraId="7CD10D57" w14:textId="5D138D5D" w:rsidR="000D55F8" w:rsidRPr="00987FC7" w:rsidRDefault="000D55F8" w:rsidP="0064557D">
    <w:pPr>
      <w:pStyle w:val="a8"/>
      <w:rPr>
        <w:rFonts w:ascii="Calibri" w:hAnsi="Calibri"/>
        <w:sz w:val="18"/>
        <w:szCs w:val="18"/>
      </w:rPr>
    </w:pPr>
    <w:r w:rsidRPr="00987FC7">
      <w:rPr>
        <w:rFonts w:ascii="Calibri" w:hAnsi="Calibri"/>
        <w:sz w:val="18"/>
        <w:szCs w:val="18"/>
      </w:rPr>
      <w:t>The purpose of this document is to provide a high-level summary comparison of certain elements of the customer collateral protection regimes applicable to cleared interest rate swaps under (1) the rules of JSCC and related Japanese law and (2) certain aspects of U.S. law, including the Commodity Exchange Act, CFTC regulations and the U.S. Bankruptcy Code. This document is purely for illustrative purposes and intended to facilitate discussion. The contents of this document are not, and are not intend to be, complete or comprehensive descriptions of the regimes and are subject to ongoing revision.</w:t>
    </w:r>
  </w:p>
  <w:p w14:paraId="7AEB974B" w14:textId="75208EF2" w:rsidR="000D55F8" w:rsidRPr="0064557D" w:rsidRDefault="000D55F8" w:rsidP="0064557D">
    <w:pPr>
      <w:tabs>
        <w:tab w:val="right" w:pos="15400"/>
      </w:tabs>
      <w:rPr>
        <w:rFonts w:ascii="Times New Roman" w:hAnsi="Times New Roman" w:cs="Times New Roman"/>
        <w:sz w:val="15"/>
      </w:rPr>
    </w:pPr>
    <w:r w:rsidRPr="0064557D">
      <w:rPr>
        <w:rFonts w:ascii="Times New Roman" w:hAnsi="Times New Roman" w:cs="Times New Roman"/>
        <w:sz w:val="14"/>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079998"/>
      <w:docPartObj>
        <w:docPartGallery w:val="Page Numbers (Bottom of Page)"/>
        <w:docPartUnique/>
      </w:docPartObj>
    </w:sdtPr>
    <w:sdtEndPr>
      <w:rPr>
        <w:rFonts w:ascii="Calibri" w:hAnsi="Calibri"/>
        <w:sz w:val="18"/>
        <w:szCs w:val="18"/>
      </w:rPr>
    </w:sdtEndPr>
    <w:sdtContent>
      <w:p w14:paraId="4EB221BA" w14:textId="115B9D41" w:rsidR="000D55F8" w:rsidRPr="00987FC7" w:rsidRDefault="000D55F8">
        <w:pPr>
          <w:pStyle w:val="a8"/>
          <w:jc w:val="center"/>
          <w:rPr>
            <w:rFonts w:ascii="Calibri" w:hAnsi="Calibri"/>
          </w:rPr>
        </w:pPr>
        <w:r w:rsidRPr="00987FC7">
          <w:rPr>
            <w:rFonts w:ascii="Calibri" w:hAnsi="Calibri"/>
          </w:rPr>
          <w:fldChar w:fldCharType="begin"/>
        </w:r>
        <w:r w:rsidRPr="00987FC7">
          <w:rPr>
            <w:rFonts w:ascii="Calibri" w:hAnsi="Calibri"/>
          </w:rPr>
          <w:instrText>PAGE   \* MERGEFORMAT</w:instrText>
        </w:r>
        <w:r w:rsidRPr="00987FC7">
          <w:rPr>
            <w:rFonts w:ascii="Calibri" w:hAnsi="Calibri"/>
          </w:rPr>
          <w:fldChar w:fldCharType="separate"/>
        </w:r>
        <w:r w:rsidR="000C6901" w:rsidRPr="000C6901">
          <w:rPr>
            <w:rFonts w:ascii="Calibri" w:hAnsi="Calibri"/>
            <w:noProof/>
            <w:lang w:val="ja-JP"/>
          </w:rPr>
          <w:t>1</w:t>
        </w:r>
        <w:r w:rsidRPr="00987FC7">
          <w:rPr>
            <w:rFonts w:ascii="Calibri" w:hAnsi="Calibri"/>
          </w:rPr>
          <w:fldChar w:fldCharType="end"/>
        </w:r>
      </w:p>
      <w:p w14:paraId="6E043DEB" w14:textId="77777777" w:rsidR="000D55F8" w:rsidRPr="00987FC7" w:rsidRDefault="000D55F8">
        <w:pPr>
          <w:pStyle w:val="a8"/>
          <w:jc w:val="center"/>
          <w:rPr>
            <w:rFonts w:ascii="Calibri" w:hAnsi="Calibri"/>
          </w:rPr>
        </w:pPr>
      </w:p>
      <w:p w14:paraId="466147DF" w14:textId="058C1CCE" w:rsidR="000D55F8" w:rsidRPr="00503712" w:rsidRDefault="000D55F8" w:rsidP="00503712">
        <w:pPr>
          <w:pStyle w:val="a8"/>
          <w:jc w:val="left"/>
          <w:rPr>
            <w:rFonts w:ascii="Calibri" w:hAnsi="Calibri"/>
            <w:sz w:val="18"/>
          </w:rPr>
        </w:pPr>
        <w:r w:rsidRPr="00987FC7">
          <w:rPr>
            <w:rFonts w:ascii="Calibri" w:hAnsi="Calibri"/>
            <w:sz w:val="18"/>
            <w:szCs w:val="18"/>
          </w:rPr>
          <w:t>The purpose of this document is to provide a high-level summary comparison of certain elements of the customer collateral protection regimes applicable to cleared interest rate swaps under (1) the rules of JSCC and related Japanese law and (2) certain aspects of U.S. law, including the Commodity Exchange Act, CFTC regulations and the U.S. Bankruptcy Code. This document is purely for illustrative purposes and intended to facilitate discussion. The contents of this document are not, and are not intend to be, complete or comprehensive descriptions of the regimes and are subject to ongoing revision.</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AA8C7A" w14:textId="77777777" w:rsidR="000D55F8" w:rsidRDefault="000D55F8" w:rsidP="00B64543">
      <w:r>
        <w:separator/>
      </w:r>
    </w:p>
  </w:footnote>
  <w:footnote w:type="continuationSeparator" w:id="0">
    <w:p w14:paraId="49229A09" w14:textId="77777777" w:rsidR="000D55F8" w:rsidRDefault="000D55F8" w:rsidP="00B64543">
      <w:r>
        <w:continuationSeparator/>
      </w:r>
    </w:p>
  </w:footnote>
  <w:footnote w:type="continuationNotice" w:id="1">
    <w:p w14:paraId="548B17BB" w14:textId="77777777" w:rsidR="000D55F8" w:rsidRDefault="000D55F8"/>
  </w:footnote>
  <w:footnote w:id="2">
    <w:p w14:paraId="62BCD076" w14:textId="09F1F7AD" w:rsidR="000D55F8" w:rsidRPr="00503712" w:rsidRDefault="000D55F8" w:rsidP="0003376B">
      <w:pPr>
        <w:pStyle w:val="ac"/>
        <w:spacing w:after="120"/>
        <w:rPr>
          <w:rFonts w:ascii="Calibri" w:hAnsi="Calibri" w:cs="Calibri"/>
        </w:rPr>
      </w:pPr>
      <w:r w:rsidRPr="00503712">
        <w:rPr>
          <w:rStyle w:val="ae"/>
          <w:rFonts w:ascii="Calibri" w:hAnsi="Calibri" w:cs="Calibri"/>
        </w:rPr>
        <w:footnoteRef/>
      </w:r>
      <w:r w:rsidRPr="00503712">
        <w:rPr>
          <w:rFonts w:ascii="Calibri" w:hAnsi="Calibri" w:cs="Calibri"/>
        </w:rPr>
        <w:t xml:space="preserve"> </w:t>
      </w:r>
      <w:r>
        <w:rPr>
          <w:rFonts w:ascii="Calibri" w:hAnsi="Calibri" w:cs="Calibri"/>
        </w:rPr>
        <w:t>A d</w:t>
      </w:r>
      <w:r w:rsidRPr="00503712">
        <w:rPr>
          <w:rFonts w:ascii="Calibri" w:hAnsi="Calibri" w:cs="Calibri"/>
        </w:rPr>
        <w:t xml:space="preserve">efaulting clearing broker cannot act as an agent, and in such a case, </w:t>
      </w:r>
      <w:r>
        <w:rPr>
          <w:rFonts w:ascii="Calibri" w:hAnsi="Calibri" w:cs="Calibri"/>
        </w:rPr>
        <w:t>a customer</w:t>
      </w:r>
      <w:r w:rsidRPr="00503712">
        <w:rPr>
          <w:rFonts w:ascii="Calibri" w:hAnsi="Calibri" w:cs="Calibri"/>
        </w:rPr>
        <w:t xml:space="preserve"> can</w:t>
      </w:r>
      <w:r>
        <w:rPr>
          <w:rFonts w:ascii="Calibri" w:hAnsi="Calibri" w:cs="Calibri"/>
        </w:rPr>
        <w:t xml:space="preserve"> request return of their collateral</w:t>
      </w:r>
      <w:r w:rsidRPr="00503712">
        <w:rPr>
          <w:rFonts w:ascii="Calibri" w:hAnsi="Calibri" w:cs="Calibri"/>
        </w:rPr>
        <w:t xml:space="preserve"> directly </w:t>
      </w:r>
      <w:r>
        <w:rPr>
          <w:rFonts w:ascii="Calibri" w:hAnsi="Calibri" w:cs="Calibri"/>
        </w:rPr>
        <w:t xml:space="preserve">from </w:t>
      </w:r>
      <w:r w:rsidRPr="00503712">
        <w:rPr>
          <w:rFonts w:ascii="Calibri" w:hAnsi="Calibri" w:cs="Calibri"/>
        </w:rPr>
        <w:t>JSCC.</w:t>
      </w:r>
    </w:p>
  </w:footnote>
  <w:footnote w:id="3">
    <w:p w14:paraId="50679824" w14:textId="122D4764" w:rsidR="000D55F8" w:rsidRPr="00503712" w:rsidRDefault="000D55F8" w:rsidP="00FB14F6">
      <w:pPr>
        <w:pStyle w:val="ac"/>
        <w:spacing w:after="120"/>
        <w:rPr>
          <w:rFonts w:ascii="Calibri" w:hAnsi="Calibri" w:cs="Calibri"/>
        </w:rPr>
      </w:pPr>
      <w:r w:rsidRPr="00503712">
        <w:rPr>
          <w:rStyle w:val="ae"/>
          <w:rFonts w:ascii="Calibri" w:hAnsi="Calibri" w:cs="Calibri"/>
        </w:rPr>
        <w:footnoteRef/>
      </w:r>
      <w:r w:rsidRPr="00503712">
        <w:rPr>
          <w:rFonts w:ascii="Calibri" w:hAnsi="Calibri" w:cs="Calibri"/>
        </w:rPr>
        <w:t xml:space="preserve"> Article 156-7.1 of Financial Instruments and Exchange Act of Japan (“FIEA”) requires </w:t>
      </w:r>
      <w:r>
        <w:rPr>
          <w:rFonts w:ascii="Calibri" w:hAnsi="Calibri" w:cs="Calibri"/>
        </w:rPr>
        <w:t>central counterparties (“</w:t>
      </w:r>
      <w:r w:rsidRPr="00503712">
        <w:rPr>
          <w:rFonts w:ascii="Calibri" w:hAnsi="Calibri" w:cs="Calibri"/>
        </w:rPr>
        <w:t>CCPs</w:t>
      </w:r>
      <w:r>
        <w:rPr>
          <w:rFonts w:ascii="Calibri" w:hAnsi="Calibri" w:cs="Calibri"/>
        </w:rPr>
        <w:t>”)</w:t>
      </w:r>
      <w:r w:rsidRPr="00503712">
        <w:rPr>
          <w:rFonts w:ascii="Calibri" w:hAnsi="Calibri" w:cs="Calibri"/>
        </w:rPr>
        <w:t xml:space="preserve"> to operate their clearing business pursuant to their business rules. Article 156-1</w:t>
      </w:r>
      <w:r>
        <w:rPr>
          <w:rFonts w:ascii="Calibri" w:hAnsi="Calibri" w:cs="Calibri"/>
        </w:rPr>
        <w:t>2 of FIEA requires the JFSA’s approval for</w:t>
      </w:r>
      <w:r w:rsidRPr="00503712">
        <w:rPr>
          <w:rFonts w:ascii="Calibri" w:hAnsi="Calibri" w:cs="Calibri"/>
        </w:rPr>
        <w:t xml:space="preserve"> </w:t>
      </w:r>
      <w:r>
        <w:rPr>
          <w:rFonts w:ascii="Calibri" w:hAnsi="Calibri" w:cs="Calibri"/>
        </w:rPr>
        <w:t xml:space="preserve">changes to </w:t>
      </w:r>
      <w:r w:rsidRPr="00503712">
        <w:rPr>
          <w:rFonts w:ascii="Calibri" w:hAnsi="Calibri" w:cs="Calibri"/>
        </w:rPr>
        <w:t>business rule</w:t>
      </w:r>
      <w:r>
        <w:rPr>
          <w:rFonts w:ascii="Calibri" w:hAnsi="Calibri" w:cs="Calibri"/>
        </w:rPr>
        <w:t>s</w:t>
      </w:r>
      <w:r w:rsidRPr="00503712">
        <w:rPr>
          <w:rFonts w:ascii="Calibri" w:hAnsi="Calibri" w:cs="Calibri"/>
        </w:rPr>
        <w:t>. JSCC’s rule books for the IRS clearing are available at JSCC website (</w:t>
      </w:r>
      <w:hyperlink r:id="rId1" w:history="1">
        <w:r w:rsidRPr="00503712">
          <w:rPr>
            <w:rStyle w:val="af"/>
            <w:rFonts w:ascii="Calibri" w:hAnsi="Calibri" w:cs="Calibri"/>
          </w:rPr>
          <w:t>https://www.jpx.co.jp/jscc/en/rule/rule_irs.html</w:t>
        </w:r>
      </w:hyperlink>
      <w:r w:rsidRPr="00503712">
        <w:rPr>
          <w:rFonts w:ascii="Calibri" w:hAnsi="Calibri" w:cs="Calibri"/>
        </w:rPr>
        <w:t xml:space="preserve">). </w:t>
      </w:r>
    </w:p>
  </w:footnote>
  <w:footnote w:id="4">
    <w:p w14:paraId="5EF54219" w14:textId="69F464D1" w:rsidR="000D55F8" w:rsidRPr="00503712" w:rsidRDefault="000D55F8" w:rsidP="00FB14F6">
      <w:pPr>
        <w:pStyle w:val="ac"/>
        <w:spacing w:after="120"/>
        <w:rPr>
          <w:rFonts w:ascii="Calibri" w:hAnsi="Calibri" w:cs="Calibri"/>
        </w:rPr>
      </w:pPr>
      <w:r w:rsidRPr="00503712">
        <w:rPr>
          <w:rStyle w:val="ae"/>
          <w:rFonts w:ascii="Calibri" w:hAnsi="Calibri" w:cs="Calibri"/>
        </w:rPr>
        <w:footnoteRef/>
      </w:r>
      <w:r w:rsidRPr="00503712">
        <w:rPr>
          <w:rFonts w:ascii="Calibri" w:hAnsi="Calibri" w:cs="Calibri"/>
        </w:rPr>
        <w:t xml:space="preserve"> </w:t>
      </w:r>
      <w:r>
        <w:rPr>
          <w:rFonts w:ascii="Calibri" w:hAnsi="Calibri" w:cs="Calibri"/>
        </w:rPr>
        <w:t>JSCC maintains t</w:t>
      </w:r>
      <w:r w:rsidRPr="00503712">
        <w:rPr>
          <w:rFonts w:ascii="Calibri" w:hAnsi="Calibri" w:cs="Calibri"/>
        </w:rPr>
        <w:t>he segregation of</w:t>
      </w:r>
      <w:r>
        <w:rPr>
          <w:rFonts w:ascii="Calibri" w:hAnsi="Calibri" w:cs="Calibri"/>
        </w:rPr>
        <w:t xml:space="preserve"> customer collateral</w:t>
      </w:r>
      <w:r w:rsidRPr="00503712">
        <w:rPr>
          <w:rFonts w:ascii="Calibri" w:hAnsi="Calibri" w:cs="Calibri"/>
        </w:rPr>
        <w:t xml:space="preserve"> in accordance with the</w:t>
      </w:r>
      <w:r>
        <w:rPr>
          <w:rFonts w:ascii="Calibri" w:hAnsi="Calibri" w:cs="Calibri"/>
        </w:rPr>
        <w:t xml:space="preserve"> collateral</w:t>
      </w:r>
      <w:r w:rsidRPr="00503712">
        <w:rPr>
          <w:rFonts w:ascii="Calibri" w:hAnsi="Calibri" w:cs="Calibri"/>
        </w:rPr>
        <w:t xml:space="preserve"> segregation requirements under</w:t>
      </w:r>
      <w:r>
        <w:rPr>
          <w:rFonts w:ascii="Calibri" w:hAnsi="Calibri" w:cs="Calibri"/>
        </w:rPr>
        <w:t xml:space="preserve"> the</w:t>
      </w:r>
      <w:r w:rsidRPr="00503712">
        <w:rPr>
          <w:rFonts w:ascii="Calibri" w:hAnsi="Calibri" w:cs="Calibri"/>
        </w:rPr>
        <w:t xml:space="preserve"> FIEA regime (Article 156-11 of FIEA, Article 18 of Cabinet Office Order on Financial Instruments Clearing Organization) and </w:t>
      </w:r>
      <w:r>
        <w:rPr>
          <w:rFonts w:ascii="Calibri" w:hAnsi="Calibri" w:cs="Calibri"/>
        </w:rPr>
        <w:t>the JFSA’s Comprehensive Guidelines for Supervision of Financial Market Infrastructure (“JFSA Guidelines”)</w:t>
      </w:r>
      <w:r w:rsidRPr="00503712">
        <w:rPr>
          <w:rFonts w:ascii="Calibri" w:hAnsi="Calibri" w:cs="Calibri"/>
        </w:rPr>
        <w:t xml:space="preserve"> (III-3-6 ). </w:t>
      </w:r>
    </w:p>
    <w:p w14:paraId="01F5A189" w14:textId="166FAAFC" w:rsidR="000D55F8" w:rsidRPr="00503712" w:rsidRDefault="000D55F8" w:rsidP="000C4CE9">
      <w:pPr>
        <w:pStyle w:val="ac"/>
        <w:spacing w:after="120"/>
        <w:rPr>
          <w:rFonts w:ascii="Calibri" w:hAnsi="Calibri" w:cs="Calibri"/>
        </w:rPr>
      </w:pPr>
      <w:r w:rsidRPr="00503712">
        <w:rPr>
          <w:rFonts w:ascii="Calibri" w:hAnsi="Calibri" w:cs="Calibri"/>
        </w:rPr>
        <w:t xml:space="preserve">An English translation of Cabinet Office Order on Financial Instruments Clearing Organization is available </w:t>
      </w:r>
      <w:r>
        <w:rPr>
          <w:rFonts w:ascii="Calibri" w:hAnsi="Calibri" w:cs="Calibri"/>
        </w:rPr>
        <w:t>on</w:t>
      </w:r>
      <w:r w:rsidRPr="00503712">
        <w:rPr>
          <w:rFonts w:ascii="Calibri" w:hAnsi="Calibri" w:cs="Calibri"/>
        </w:rPr>
        <w:t xml:space="preserve"> the Ministry of Justice website: (</w:t>
      </w:r>
      <w:hyperlink r:id="rId2" w:history="1">
        <w:r w:rsidRPr="00503712">
          <w:rPr>
            <w:rStyle w:val="af"/>
            <w:rFonts w:ascii="Calibri" w:hAnsi="Calibri" w:cs="Calibri"/>
          </w:rPr>
          <w:t>http://www.japaneselawtranslation.go.jp/law/detail/?ft=1&amp;re=01&amp;dn=1&amp;ia=03&amp;co=01&amp;x=0&amp;y=0&amp;ky=%E9%87%91%E8%9E%8D%E5%95%86%E5%93%81%E5%8F%96%E5%BC%95%E6%B8%85%E7%AE%97%E6%A9%9F%E9%96%A2&amp;page=4</w:t>
        </w:r>
      </w:hyperlink>
      <w:r w:rsidRPr="00503712">
        <w:rPr>
          <w:rFonts w:ascii="Calibri" w:hAnsi="Calibri" w:cs="Calibri"/>
        </w:rPr>
        <w:t>)</w:t>
      </w:r>
      <w:r>
        <w:rPr>
          <w:rFonts w:ascii="Calibri" w:hAnsi="Calibri" w:cs="Calibri"/>
        </w:rPr>
        <w:t>.</w:t>
      </w:r>
    </w:p>
    <w:p w14:paraId="66D3CCDA" w14:textId="37051309" w:rsidR="000D55F8" w:rsidRPr="00503712" w:rsidRDefault="000D55F8" w:rsidP="00437DFE">
      <w:pPr>
        <w:pStyle w:val="ac"/>
        <w:spacing w:after="120"/>
        <w:rPr>
          <w:rFonts w:ascii="Calibri" w:hAnsi="Calibri" w:cs="Calibri"/>
        </w:rPr>
      </w:pPr>
      <w:r w:rsidRPr="00503712">
        <w:rPr>
          <w:rFonts w:ascii="Calibri" w:hAnsi="Calibri" w:cs="Calibri"/>
        </w:rPr>
        <w:t>An English translation of JFSA</w:t>
      </w:r>
      <w:r>
        <w:rPr>
          <w:rFonts w:ascii="Calibri" w:hAnsi="Calibri" w:cs="Calibri"/>
        </w:rPr>
        <w:t xml:space="preserve"> G</w:t>
      </w:r>
      <w:r w:rsidRPr="00503712">
        <w:rPr>
          <w:rFonts w:ascii="Calibri" w:hAnsi="Calibri" w:cs="Calibri"/>
        </w:rPr>
        <w:t>uideline</w:t>
      </w:r>
      <w:r>
        <w:rPr>
          <w:rFonts w:ascii="Calibri" w:hAnsi="Calibri" w:cs="Calibri"/>
        </w:rPr>
        <w:t>s</w:t>
      </w:r>
      <w:r w:rsidRPr="00503712">
        <w:rPr>
          <w:rFonts w:ascii="Calibri" w:hAnsi="Calibri" w:cs="Calibri"/>
        </w:rPr>
        <w:t xml:space="preserve"> is available </w:t>
      </w:r>
      <w:r>
        <w:rPr>
          <w:rFonts w:ascii="Calibri" w:hAnsi="Calibri" w:cs="Calibri"/>
        </w:rPr>
        <w:t>on the</w:t>
      </w:r>
      <w:r w:rsidRPr="00503712">
        <w:rPr>
          <w:rFonts w:ascii="Calibri" w:hAnsi="Calibri" w:cs="Calibri"/>
        </w:rPr>
        <w:t xml:space="preserve"> JFSA website: (</w:t>
      </w:r>
      <w:hyperlink r:id="rId3" w:history="1">
        <w:r w:rsidRPr="00503712">
          <w:rPr>
            <w:rStyle w:val="af"/>
            <w:rFonts w:ascii="Calibri" w:hAnsi="Calibri" w:cs="Calibri"/>
          </w:rPr>
          <w:t>https://www.fsa.go.jp/en/news/2014/20140327-1/01.pdf</w:t>
        </w:r>
      </w:hyperlink>
      <w:r w:rsidRPr="00503712">
        <w:rPr>
          <w:rFonts w:ascii="Calibri" w:hAnsi="Calibri" w:cs="Calibri"/>
        </w:rPr>
        <w:t>)</w:t>
      </w:r>
    </w:p>
  </w:footnote>
  <w:footnote w:id="5">
    <w:p w14:paraId="46895084" w14:textId="555E8E9C" w:rsidR="000D55F8" w:rsidRPr="000D55F8" w:rsidRDefault="000D55F8">
      <w:pPr>
        <w:pStyle w:val="ac"/>
      </w:pPr>
      <w:r>
        <w:rPr>
          <w:rStyle w:val="ae"/>
        </w:rPr>
        <w:footnoteRef/>
      </w:r>
      <w:r>
        <w:t xml:space="preserve"> </w:t>
      </w:r>
      <w:r w:rsidRPr="00A1179B">
        <w:rPr>
          <w:rFonts w:ascii="Calibri" w:hAnsi="Calibri" w:cs="Calibri"/>
        </w:rPr>
        <w:t xml:space="preserve">Alternatively, </w:t>
      </w:r>
      <w:r>
        <w:rPr>
          <w:rFonts w:ascii="Calibri" w:hAnsi="Calibri" w:cs="Calibri" w:hint="eastAsia"/>
        </w:rPr>
        <w:t xml:space="preserve">clearing members and </w:t>
      </w:r>
      <w:r w:rsidRPr="00A1179B">
        <w:rPr>
          <w:rFonts w:ascii="Calibri" w:hAnsi="Calibri" w:cs="Calibri"/>
        </w:rPr>
        <w:t xml:space="preserve">customers may elect to custody </w:t>
      </w:r>
      <w:r w:rsidRPr="00A1179B">
        <w:rPr>
          <w:rFonts w:ascii="Calibri" w:hAnsi="Calibri" w:cs="Calibri" w:hint="eastAsia"/>
        </w:rPr>
        <w:t xml:space="preserve">their own </w:t>
      </w:r>
      <w:r w:rsidRPr="00A1179B">
        <w:rPr>
          <w:rFonts w:ascii="Calibri" w:hAnsi="Calibri" w:cs="Calibri"/>
        </w:rPr>
        <w:t>JPY cash c</w:t>
      </w:r>
      <w:r>
        <w:rPr>
          <w:rFonts w:ascii="Calibri" w:hAnsi="Calibri" w:cs="Calibri"/>
        </w:rPr>
        <w:t>ollateral at the Bank of Japan</w:t>
      </w:r>
      <w:r w:rsidRPr="00A1179B">
        <w:rPr>
          <w:rFonts w:ascii="Calibri" w:hAnsi="Calibri" w:cs="Calibri" w:hint="eastAsia"/>
        </w:rPr>
        <w:t>.</w:t>
      </w:r>
      <w:r>
        <w:rPr>
          <w:rFonts w:ascii="Calibri" w:hAnsi="Calibri" w:cs="Calibri" w:hint="eastAsia"/>
        </w:rPr>
        <w:t xml:space="preserve"> This document describes the protection</w:t>
      </w:r>
      <w:r w:rsidR="009F7F35">
        <w:rPr>
          <w:rFonts w:ascii="Calibri" w:hAnsi="Calibri" w:cs="Calibri" w:hint="eastAsia"/>
        </w:rPr>
        <w:t>s</w:t>
      </w:r>
      <w:r w:rsidR="0018462B">
        <w:rPr>
          <w:rFonts w:ascii="Calibri" w:hAnsi="Calibri" w:cs="Calibri" w:hint="eastAsia"/>
        </w:rPr>
        <w:t xml:space="preserve"> when choosing the trust arrangement</w:t>
      </w:r>
      <w:r>
        <w:rPr>
          <w:rFonts w:ascii="Calibri" w:hAnsi="Calibri" w:cs="Calibri" w:hint="eastAsia"/>
        </w:rPr>
        <w:t>.</w:t>
      </w:r>
    </w:p>
  </w:footnote>
  <w:footnote w:id="6">
    <w:p w14:paraId="26469E64" w14:textId="77777777" w:rsidR="000D55F8" w:rsidRPr="00503712" w:rsidRDefault="000D55F8" w:rsidP="00503712">
      <w:pPr>
        <w:pStyle w:val="ac"/>
        <w:spacing w:after="120"/>
        <w:rPr>
          <w:rFonts w:ascii="Calibri" w:hAnsi="Calibri" w:cs="Calibri"/>
        </w:rPr>
      </w:pPr>
      <w:r w:rsidRPr="00503712">
        <w:rPr>
          <w:rStyle w:val="ae"/>
          <w:rFonts w:ascii="Calibri" w:hAnsi="Calibri" w:cs="Calibri"/>
        </w:rPr>
        <w:footnoteRef/>
      </w:r>
      <w:r w:rsidRPr="00503712">
        <w:rPr>
          <w:rFonts w:ascii="Calibri" w:hAnsi="Calibri" w:cs="Calibri"/>
        </w:rPr>
        <w:t xml:space="preserve"> An English translation of the Trust Act is available at the Ministry of Justice website, here: (</w:t>
      </w:r>
      <w:hyperlink r:id="rId4" w:history="1">
        <w:r w:rsidRPr="00503712">
          <w:rPr>
            <w:rStyle w:val="af"/>
            <w:rFonts w:ascii="Calibri" w:hAnsi="Calibri" w:cs="Calibri"/>
          </w:rPr>
          <w:t>http://www.japaneselawtranslation.go.jp/law/detail/?id=2476&amp;vm=04&amp;re=01</w:t>
        </w:r>
      </w:hyperlink>
      <w:r w:rsidRPr="00503712">
        <w:rPr>
          <w:rFonts w:ascii="Calibri" w:hAnsi="Calibri" w:cs="Calibri"/>
        </w:rPr>
        <w:t>)</w:t>
      </w:r>
    </w:p>
  </w:footnote>
  <w:footnote w:id="7">
    <w:p w14:paraId="352A3AA1" w14:textId="7131C428" w:rsidR="000D55F8" w:rsidRPr="007E5665" w:rsidRDefault="000D55F8">
      <w:pPr>
        <w:pStyle w:val="ac"/>
        <w:rPr>
          <w:rFonts w:ascii="Calibri" w:hAnsi="Calibri" w:cs="Calibri"/>
        </w:rPr>
      </w:pPr>
      <w:r>
        <w:rPr>
          <w:rStyle w:val="ae"/>
        </w:rPr>
        <w:footnoteRef/>
      </w:r>
      <w:r>
        <w:t xml:space="preserve"> </w:t>
      </w:r>
      <w:r w:rsidRPr="00D838C5">
        <w:rPr>
          <w:rFonts w:ascii="Calibri" w:hAnsi="Calibri" w:cs="Calibri" w:hint="eastAsia"/>
        </w:rPr>
        <w:t xml:space="preserve">The official name is </w:t>
      </w:r>
      <w:r w:rsidRPr="00D838C5">
        <w:rPr>
          <w:rFonts w:ascii="Calibri" w:hAnsi="Calibri" w:cs="Calibri"/>
          <w:i/>
        </w:rPr>
        <w:t>Gaikokuho Kyodo-Jigyo Horitsu Jimusho Linklaters</w:t>
      </w:r>
      <w:r>
        <w:rPr>
          <w:rFonts w:ascii="Calibri" w:hAnsi="Calibri" w:cs="Calibri" w:hint="eastAsia"/>
        </w:rPr>
        <w:t>.</w:t>
      </w:r>
    </w:p>
  </w:footnote>
  <w:footnote w:id="8">
    <w:p w14:paraId="6C2F0983" w14:textId="09D15A4B" w:rsidR="000D55F8" w:rsidRPr="00BE2F98" w:rsidRDefault="000D55F8">
      <w:pPr>
        <w:pStyle w:val="ac"/>
      </w:pPr>
      <w:r>
        <w:rPr>
          <w:rStyle w:val="ae"/>
        </w:rPr>
        <w:footnoteRef/>
      </w:r>
      <w:r>
        <w:t xml:space="preserve"> </w:t>
      </w:r>
      <w:r w:rsidRPr="00A1179B">
        <w:rPr>
          <w:rFonts w:ascii="Calibri" w:hAnsi="Calibri" w:cs="Calibri" w:hint="eastAsia"/>
        </w:rPr>
        <w:t xml:space="preserve">JSCC passes the fees and costs to the special clearing fees. </w:t>
      </w:r>
    </w:p>
  </w:footnote>
  <w:footnote w:id="9">
    <w:p w14:paraId="532E9794" w14:textId="7961694A" w:rsidR="000D55F8" w:rsidRPr="00503712" w:rsidRDefault="000D55F8" w:rsidP="00503712">
      <w:pPr>
        <w:pStyle w:val="ac"/>
        <w:spacing w:after="120"/>
        <w:rPr>
          <w:rFonts w:ascii="Calibri" w:hAnsi="Calibri" w:cs="Calibri"/>
        </w:rPr>
      </w:pPr>
      <w:r w:rsidRPr="00503712">
        <w:rPr>
          <w:rStyle w:val="ae"/>
          <w:rFonts w:ascii="Calibri" w:hAnsi="Calibri" w:cs="Calibri"/>
        </w:rPr>
        <w:footnoteRef/>
      </w:r>
      <w:r w:rsidRPr="00503712">
        <w:rPr>
          <w:rFonts w:ascii="Calibri" w:hAnsi="Calibri" w:cs="Calibri"/>
        </w:rPr>
        <w:t xml:space="preserve"> This can be exempted if the clearing member obtains the customer’s consent. In such a case, the clearing member must deliver to JSCC the substituted collateral (i.e. eligible collateral that is different from the collateral originally delivered to the clearing member) in an amount not less than the value of the collateral originally received from the customer (Article 73.1 and 73.2 of the Business Rules).</w:t>
      </w:r>
    </w:p>
  </w:footnote>
  <w:footnote w:id="10">
    <w:p w14:paraId="1D3CBA4C" w14:textId="14D0298E" w:rsidR="000D55F8" w:rsidRPr="00503712" w:rsidRDefault="000D55F8" w:rsidP="00503712">
      <w:pPr>
        <w:pStyle w:val="ac"/>
        <w:spacing w:after="120"/>
        <w:rPr>
          <w:rFonts w:ascii="Calibri" w:hAnsi="Calibri" w:cs="Calibri"/>
        </w:rPr>
      </w:pPr>
      <w:r w:rsidRPr="00503712">
        <w:rPr>
          <w:rStyle w:val="ae"/>
          <w:rFonts w:ascii="Calibri" w:hAnsi="Calibri" w:cs="Calibri"/>
        </w:rPr>
        <w:footnoteRef/>
      </w:r>
      <w:r w:rsidRPr="00503712">
        <w:rPr>
          <w:rFonts w:ascii="Calibri" w:hAnsi="Calibri" w:cs="Calibri"/>
        </w:rPr>
        <w:t xml:space="preserve"> These deadlines are prescribed in the operational procedures that are distributed to all clearing members.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86F44" w14:textId="23724D81" w:rsidR="000D55F8" w:rsidRDefault="000C6901">
    <w:pPr>
      <w:pStyle w:val="a6"/>
    </w:pPr>
    <w:r>
      <w:rPr>
        <w:noProof/>
      </w:rPr>
      <w:pict w14:anchorId="174093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562405" o:spid="_x0000_s26626" type="#_x0000_t136" style="position:absolute;left:0;text-align:left;margin-left:0;margin-top:0;width:527pt;height:210.8pt;rotation:315;z-index:-251655168;mso-position-horizontal:center;mso-position-horizontal-relative:margin;mso-position-vertical:center;mso-position-vertical-relative:margin" o:allowincell="f" fillcolor="silver" stroked="f">
          <v:fill opacity=".5"/>
          <v:textpath style="font-family:&quot;ＭＳ 明朝&quot;;font-size:1pt;v-text-reverse: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ABDCC" w14:textId="606EC150" w:rsidR="000D55F8" w:rsidRDefault="000C6901">
    <w:pPr>
      <w:pStyle w:val="a6"/>
    </w:pPr>
    <w:r>
      <w:rPr>
        <w:noProof/>
      </w:rPr>
      <w:pict w14:anchorId="61E670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562406" o:spid="_x0000_s26627" type="#_x0000_t136" style="position:absolute;left:0;text-align:left;margin-left:0;margin-top:0;width:527pt;height:210.8pt;rotation:315;z-index:-251653120;mso-position-horizontal:center;mso-position-horizontal-relative:margin;mso-position-vertical:center;mso-position-vertical-relative:margin" o:allowincell="f" fillcolor="silver" stroked="f">
          <v:fill opacity=".5"/>
          <v:textpath style="font-family:&quot;ＭＳ 明朝&quot;;font-size:1pt;v-text-reverse: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32577" w14:textId="7FE57921" w:rsidR="000D55F8" w:rsidRDefault="000C6901">
    <w:pPr>
      <w:pStyle w:val="a6"/>
    </w:pPr>
    <w:r>
      <w:rPr>
        <w:noProof/>
      </w:rPr>
      <w:pict w14:anchorId="3EE204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562404" o:spid="_x0000_s26625" type="#_x0000_t136" style="position:absolute;left:0;text-align:left;margin-left:0;margin-top:0;width:527pt;height:210.8pt;rotation:315;z-index:-251657216;mso-position-horizontal:center;mso-position-horizontal-relative:margin;mso-position-vertical:center;mso-position-vertical-relative:margin" o:allowincell="f" fillcolor="silver" stroked="f">
          <v:fill opacity=".5"/>
          <v:textpath style="font-family:&quot;ＭＳ 明朝&quot;;font-size:1pt;v-text-reverse: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F86F1A8"/>
    <w:lvl w:ilvl="0">
      <w:start w:val="1"/>
      <w:numFmt w:val="bullet"/>
      <w:pStyle w:val="3"/>
      <w:lvlText w:val=""/>
      <w:lvlJc w:val="left"/>
      <w:pPr>
        <w:tabs>
          <w:tab w:val="num" w:pos="2160"/>
        </w:tabs>
        <w:ind w:left="2160" w:hanging="720"/>
      </w:pPr>
      <w:rPr>
        <w:rFonts w:ascii="Symbol" w:hAnsi="Symbol" w:hint="default"/>
      </w:rPr>
    </w:lvl>
  </w:abstractNum>
  <w:abstractNum w:abstractNumId="1">
    <w:nsid w:val="13AD1027"/>
    <w:multiLevelType w:val="hybridMultilevel"/>
    <w:tmpl w:val="D83E60B4"/>
    <w:lvl w:ilvl="0" w:tplc="04090001">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85824E2"/>
    <w:multiLevelType w:val="hybridMultilevel"/>
    <w:tmpl w:val="3CEE0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9B112B"/>
    <w:multiLevelType w:val="hybridMultilevel"/>
    <w:tmpl w:val="5484B08E"/>
    <w:lvl w:ilvl="0" w:tplc="A568F548">
      <w:start w:val="1"/>
      <w:numFmt w:val="decimal"/>
      <w:pStyle w:val="a"/>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D0195A"/>
    <w:multiLevelType w:val="hybridMultilevel"/>
    <w:tmpl w:val="8DE8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C21C98"/>
    <w:multiLevelType w:val="hybridMultilevel"/>
    <w:tmpl w:val="6F5208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6A34CDB"/>
    <w:multiLevelType w:val="hybridMultilevel"/>
    <w:tmpl w:val="478C1A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F9876D4"/>
    <w:multiLevelType w:val="hybridMultilevel"/>
    <w:tmpl w:val="E9FCF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C93174"/>
    <w:multiLevelType w:val="hybridMultilevel"/>
    <w:tmpl w:val="7B54CCA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D782A29"/>
    <w:multiLevelType w:val="hybridMultilevel"/>
    <w:tmpl w:val="500C53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79D708E5"/>
    <w:multiLevelType w:val="hybridMultilevel"/>
    <w:tmpl w:val="FA542CA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1"/>
  </w:num>
  <w:num w:numId="3">
    <w:abstractNumId w:val="5"/>
  </w:num>
  <w:num w:numId="4">
    <w:abstractNumId w:val="9"/>
  </w:num>
  <w:num w:numId="5">
    <w:abstractNumId w:val="2"/>
  </w:num>
  <w:num w:numId="6">
    <w:abstractNumId w:val="7"/>
  </w:num>
  <w:num w:numId="7">
    <w:abstractNumId w:val="0"/>
  </w:num>
  <w:num w:numId="8">
    <w:abstractNumId w:val="3"/>
  </w:num>
  <w:num w:numId="9">
    <w:abstractNumId w:val="6"/>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TrueType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26628">
      <v:textbox inset="5.85pt,.7pt,5.85pt,.7pt"/>
    </o:shapedefaults>
    <o:shapelayout v:ext="edit">
      <o:idmap v:ext="edit" data="26"/>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17C"/>
    <w:rsid w:val="0000180D"/>
    <w:rsid w:val="00011695"/>
    <w:rsid w:val="00015C98"/>
    <w:rsid w:val="0003376B"/>
    <w:rsid w:val="00035B55"/>
    <w:rsid w:val="00036926"/>
    <w:rsid w:val="00045302"/>
    <w:rsid w:val="0005432A"/>
    <w:rsid w:val="000558A9"/>
    <w:rsid w:val="00056B88"/>
    <w:rsid w:val="00062AF8"/>
    <w:rsid w:val="00062FD7"/>
    <w:rsid w:val="0008777E"/>
    <w:rsid w:val="000937B5"/>
    <w:rsid w:val="0009661A"/>
    <w:rsid w:val="000A278A"/>
    <w:rsid w:val="000B737F"/>
    <w:rsid w:val="000C4371"/>
    <w:rsid w:val="000C4CE9"/>
    <w:rsid w:val="000C6901"/>
    <w:rsid w:val="000D55F8"/>
    <w:rsid w:val="000D681F"/>
    <w:rsid w:val="000D7C61"/>
    <w:rsid w:val="000F3A39"/>
    <w:rsid w:val="00101824"/>
    <w:rsid w:val="00101FD8"/>
    <w:rsid w:val="001065D2"/>
    <w:rsid w:val="00112BDE"/>
    <w:rsid w:val="0014146E"/>
    <w:rsid w:val="00144663"/>
    <w:rsid w:val="00146C4C"/>
    <w:rsid w:val="0014718F"/>
    <w:rsid w:val="00166B0C"/>
    <w:rsid w:val="00172F38"/>
    <w:rsid w:val="001768AB"/>
    <w:rsid w:val="001805CA"/>
    <w:rsid w:val="0018462B"/>
    <w:rsid w:val="00184E08"/>
    <w:rsid w:val="00186653"/>
    <w:rsid w:val="001A7731"/>
    <w:rsid w:val="001B01A9"/>
    <w:rsid w:val="001B7804"/>
    <w:rsid w:val="001C3AE1"/>
    <w:rsid w:val="001D2287"/>
    <w:rsid w:val="001D4B2B"/>
    <w:rsid w:val="001E0730"/>
    <w:rsid w:val="001E7718"/>
    <w:rsid w:val="001F3807"/>
    <w:rsid w:val="001F76F0"/>
    <w:rsid w:val="00206C9A"/>
    <w:rsid w:val="00226011"/>
    <w:rsid w:val="00226CF8"/>
    <w:rsid w:val="00245391"/>
    <w:rsid w:val="00251AE7"/>
    <w:rsid w:val="002657C2"/>
    <w:rsid w:val="002825BC"/>
    <w:rsid w:val="00283334"/>
    <w:rsid w:val="00284CF1"/>
    <w:rsid w:val="00286A79"/>
    <w:rsid w:val="00286C56"/>
    <w:rsid w:val="002902A5"/>
    <w:rsid w:val="002A7A3C"/>
    <w:rsid w:val="002C0E3B"/>
    <w:rsid w:val="002F46C4"/>
    <w:rsid w:val="0030346B"/>
    <w:rsid w:val="0031043D"/>
    <w:rsid w:val="0031601D"/>
    <w:rsid w:val="00327EF6"/>
    <w:rsid w:val="00344733"/>
    <w:rsid w:val="003525CE"/>
    <w:rsid w:val="003528C2"/>
    <w:rsid w:val="00364C85"/>
    <w:rsid w:val="00366294"/>
    <w:rsid w:val="00382E8B"/>
    <w:rsid w:val="00393714"/>
    <w:rsid w:val="003B0A92"/>
    <w:rsid w:val="003C1849"/>
    <w:rsid w:val="003C707E"/>
    <w:rsid w:val="003C7E08"/>
    <w:rsid w:val="003D23A5"/>
    <w:rsid w:val="003F7ED5"/>
    <w:rsid w:val="00400210"/>
    <w:rsid w:val="004203F9"/>
    <w:rsid w:val="004221A4"/>
    <w:rsid w:val="00437DFE"/>
    <w:rsid w:val="00447977"/>
    <w:rsid w:val="00453DD6"/>
    <w:rsid w:val="004564F3"/>
    <w:rsid w:val="0048151B"/>
    <w:rsid w:val="00496477"/>
    <w:rsid w:val="004A7779"/>
    <w:rsid w:val="004B262F"/>
    <w:rsid w:val="004C062D"/>
    <w:rsid w:val="004D024F"/>
    <w:rsid w:val="004D5B5A"/>
    <w:rsid w:val="00503712"/>
    <w:rsid w:val="00537B15"/>
    <w:rsid w:val="00551E87"/>
    <w:rsid w:val="00564363"/>
    <w:rsid w:val="00573D14"/>
    <w:rsid w:val="005767BF"/>
    <w:rsid w:val="00582F69"/>
    <w:rsid w:val="00591D57"/>
    <w:rsid w:val="00594818"/>
    <w:rsid w:val="00595632"/>
    <w:rsid w:val="00597547"/>
    <w:rsid w:val="005B3156"/>
    <w:rsid w:val="005B7975"/>
    <w:rsid w:val="005D68B5"/>
    <w:rsid w:val="005D779B"/>
    <w:rsid w:val="00603CF0"/>
    <w:rsid w:val="006164F2"/>
    <w:rsid w:val="0064145D"/>
    <w:rsid w:val="00641DD0"/>
    <w:rsid w:val="0064557D"/>
    <w:rsid w:val="006478FA"/>
    <w:rsid w:val="00665388"/>
    <w:rsid w:val="00667F11"/>
    <w:rsid w:val="00675D59"/>
    <w:rsid w:val="00681316"/>
    <w:rsid w:val="0068286D"/>
    <w:rsid w:val="00683BB8"/>
    <w:rsid w:val="006875F7"/>
    <w:rsid w:val="006B38DA"/>
    <w:rsid w:val="006D2B48"/>
    <w:rsid w:val="006E1C16"/>
    <w:rsid w:val="006E38DE"/>
    <w:rsid w:val="0070266E"/>
    <w:rsid w:val="00707F52"/>
    <w:rsid w:val="007117AC"/>
    <w:rsid w:val="0071180D"/>
    <w:rsid w:val="00713A55"/>
    <w:rsid w:val="00721235"/>
    <w:rsid w:val="00727AA9"/>
    <w:rsid w:val="00744810"/>
    <w:rsid w:val="00746F1B"/>
    <w:rsid w:val="00757E3A"/>
    <w:rsid w:val="007953EB"/>
    <w:rsid w:val="007A31B1"/>
    <w:rsid w:val="007A3A5E"/>
    <w:rsid w:val="007A48A1"/>
    <w:rsid w:val="007C0799"/>
    <w:rsid w:val="007E03AD"/>
    <w:rsid w:val="007E2617"/>
    <w:rsid w:val="007E5665"/>
    <w:rsid w:val="00802673"/>
    <w:rsid w:val="008055EF"/>
    <w:rsid w:val="00807902"/>
    <w:rsid w:val="00824D27"/>
    <w:rsid w:val="008417E7"/>
    <w:rsid w:val="008433CA"/>
    <w:rsid w:val="008701C1"/>
    <w:rsid w:val="0087117C"/>
    <w:rsid w:val="00873634"/>
    <w:rsid w:val="008768C4"/>
    <w:rsid w:val="00893DDC"/>
    <w:rsid w:val="008B0B68"/>
    <w:rsid w:val="008C1F79"/>
    <w:rsid w:val="008D185C"/>
    <w:rsid w:val="008D2B8E"/>
    <w:rsid w:val="008D3F6B"/>
    <w:rsid w:val="008E5BD9"/>
    <w:rsid w:val="009002D3"/>
    <w:rsid w:val="00901A1B"/>
    <w:rsid w:val="009074EC"/>
    <w:rsid w:val="00953D28"/>
    <w:rsid w:val="0095466E"/>
    <w:rsid w:val="00956597"/>
    <w:rsid w:val="00975D4A"/>
    <w:rsid w:val="00987FC7"/>
    <w:rsid w:val="00992647"/>
    <w:rsid w:val="009A0097"/>
    <w:rsid w:val="009A659E"/>
    <w:rsid w:val="009D512C"/>
    <w:rsid w:val="009E272E"/>
    <w:rsid w:val="009E7EEB"/>
    <w:rsid w:val="009F7F35"/>
    <w:rsid w:val="00A1179B"/>
    <w:rsid w:val="00A220E9"/>
    <w:rsid w:val="00A2652D"/>
    <w:rsid w:val="00A44CD4"/>
    <w:rsid w:val="00A47B3B"/>
    <w:rsid w:val="00A7588C"/>
    <w:rsid w:val="00AA046F"/>
    <w:rsid w:val="00AA0575"/>
    <w:rsid w:val="00AA5495"/>
    <w:rsid w:val="00AC4132"/>
    <w:rsid w:val="00B00967"/>
    <w:rsid w:val="00B0312E"/>
    <w:rsid w:val="00B10A87"/>
    <w:rsid w:val="00B279D0"/>
    <w:rsid w:val="00B32680"/>
    <w:rsid w:val="00B604A4"/>
    <w:rsid w:val="00B64543"/>
    <w:rsid w:val="00B75455"/>
    <w:rsid w:val="00B808BE"/>
    <w:rsid w:val="00B83735"/>
    <w:rsid w:val="00B83EB6"/>
    <w:rsid w:val="00B85352"/>
    <w:rsid w:val="00BA5842"/>
    <w:rsid w:val="00BC336A"/>
    <w:rsid w:val="00BD0CB9"/>
    <w:rsid w:val="00BE2F98"/>
    <w:rsid w:val="00BE6E89"/>
    <w:rsid w:val="00C017DF"/>
    <w:rsid w:val="00C11034"/>
    <w:rsid w:val="00C1194B"/>
    <w:rsid w:val="00C368C8"/>
    <w:rsid w:val="00C4437D"/>
    <w:rsid w:val="00C52D30"/>
    <w:rsid w:val="00C62F77"/>
    <w:rsid w:val="00C71F26"/>
    <w:rsid w:val="00C727A3"/>
    <w:rsid w:val="00C92318"/>
    <w:rsid w:val="00C94B10"/>
    <w:rsid w:val="00C962DD"/>
    <w:rsid w:val="00CA173B"/>
    <w:rsid w:val="00CA691C"/>
    <w:rsid w:val="00CC6064"/>
    <w:rsid w:val="00CD022A"/>
    <w:rsid w:val="00CE435E"/>
    <w:rsid w:val="00CF176C"/>
    <w:rsid w:val="00D14617"/>
    <w:rsid w:val="00D22944"/>
    <w:rsid w:val="00D3404D"/>
    <w:rsid w:val="00D53C9B"/>
    <w:rsid w:val="00D578E9"/>
    <w:rsid w:val="00D66ABD"/>
    <w:rsid w:val="00D838C5"/>
    <w:rsid w:val="00D92F3B"/>
    <w:rsid w:val="00D9530F"/>
    <w:rsid w:val="00D96BA2"/>
    <w:rsid w:val="00DC16A8"/>
    <w:rsid w:val="00DC51C3"/>
    <w:rsid w:val="00DC7F36"/>
    <w:rsid w:val="00DE6B8C"/>
    <w:rsid w:val="00DF6726"/>
    <w:rsid w:val="00DF71E3"/>
    <w:rsid w:val="00E12C7F"/>
    <w:rsid w:val="00E2448D"/>
    <w:rsid w:val="00E27529"/>
    <w:rsid w:val="00E33DFB"/>
    <w:rsid w:val="00E37969"/>
    <w:rsid w:val="00E4064B"/>
    <w:rsid w:val="00E518D9"/>
    <w:rsid w:val="00E60DEA"/>
    <w:rsid w:val="00E60F9F"/>
    <w:rsid w:val="00E87FCD"/>
    <w:rsid w:val="00EA4DB1"/>
    <w:rsid w:val="00EB2A77"/>
    <w:rsid w:val="00F00867"/>
    <w:rsid w:val="00F1125F"/>
    <w:rsid w:val="00F441A3"/>
    <w:rsid w:val="00F51BAD"/>
    <w:rsid w:val="00F6097A"/>
    <w:rsid w:val="00F62D82"/>
    <w:rsid w:val="00FA0B25"/>
    <w:rsid w:val="00FA19DB"/>
    <w:rsid w:val="00FB14F6"/>
    <w:rsid w:val="00FB4045"/>
    <w:rsid w:val="00FD33E2"/>
    <w:rsid w:val="00FE470A"/>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6628">
      <v:textbox inset="5.85pt,.7pt,5.85pt,.7pt"/>
    </o:shapedefaults>
    <o:shapelayout v:ext="edit">
      <o:idmap v:ext="edit" data="1"/>
    </o:shapelayout>
  </w:shapeDefaults>
  <w:decimalSymbol w:val="."/>
  <w:listSeparator w:val=","/>
  <w14:docId w14:val="5597A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49" w:qFormat="1"/>
    <w:lsdException w:name="List Bullet 3" w:uiPriority="39" w:qFormat="1"/>
    <w:lsdException w:name="Title" w:semiHidden="0" w:uiPriority="10" w:unhideWhenUsed="0" w:qFormat="1"/>
    <w:lsdException w:name="Default Paragraph Font" w:uiPriority="1"/>
    <w:lsdException w:name="Body Text" w:uiPriority="9"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8D3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uiPriority w:val="34"/>
    <w:semiHidden/>
    <w:qFormat/>
    <w:rsid w:val="00B604A4"/>
    <w:pPr>
      <w:ind w:leftChars="400" w:left="840"/>
    </w:pPr>
  </w:style>
  <w:style w:type="paragraph" w:styleId="a6">
    <w:name w:val="header"/>
    <w:basedOn w:val="a0"/>
    <w:link w:val="a7"/>
    <w:uiPriority w:val="99"/>
    <w:unhideWhenUsed/>
    <w:rsid w:val="00B64543"/>
    <w:pPr>
      <w:tabs>
        <w:tab w:val="center" w:pos="4252"/>
        <w:tab w:val="right" w:pos="8504"/>
      </w:tabs>
      <w:snapToGrid w:val="0"/>
    </w:pPr>
  </w:style>
  <w:style w:type="character" w:customStyle="1" w:styleId="a7">
    <w:name w:val="ヘッダー (文字)"/>
    <w:basedOn w:val="a1"/>
    <w:link w:val="a6"/>
    <w:uiPriority w:val="99"/>
    <w:rsid w:val="00B64543"/>
  </w:style>
  <w:style w:type="paragraph" w:styleId="a8">
    <w:name w:val="footer"/>
    <w:basedOn w:val="a0"/>
    <w:link w:val="a9"/>
    <w:uiPriority w:val="99"/>
    <w:unhideWhenUsed/>
    <w:rsid w:val="00B64543"/>
    <w:pPr>
      <w:tabs>
        <w:tab w:val="center" w:pos="4252"/>
        <w:tab w:val="right" w:pos="8504"/>
      </w:tabs>
      <w:snapToGrid w:val="0"/>
    </w:pPr>
  </w:style>
  <w:style w:type="character" w:customStyle="1" w:styleId="a9">
    <w:name w:val="フッター (文字)"/>
    <w:basedOn w:val="a1"/>
    <w:link w:val="a8"/>
    <w:uiPriority w:val="99"/>
    <w:rsid w:val="00B64543"/>
  </w:style>
  <w:style w:type="paragraph" w:styleId="aa">
    <w:name w:val="Balloon Text"/>
    <w:basedOn w:val="a0"/>
    <w:link w:val="ab"/>
    <w:uiPriority w:val="99"/>
    <w:semiHidden/>
    <w:unhideWhenUsed/>
    <w:rsid w:val="003F7ED5"/>
    <w:rPr>
      <w:rFonts w:asciiTheme="majorHAnsi" w:eastAsiaTheme="majorEastAsia" w:hAnsiTheme="majorHAnsi" w:cstheme="majorBidi"/>
      <w:sz w:val="18"/>
      <w:szCs w:val="18"/>
    </w:rPr>
  </w:style>
  <w:style w:type="character" w:customStyle="1" w:styleId="ab">
    <w:name w:val="吹き出し (文字)"/>
    <w:basedOn w:val="a1"/>
    <w:link w:val="aa"/>
    <w:uiPriority w:val="99"/>
    <w:semiHidden/>
    <w:rsid w:val="003F7ED5"/>
    <w:rPr>
      <w:rFonts w:asciiTheme="majorHAnsi" w:eastAsiaTheme="majorEastAsia" w:hAnsiTheme="majorHAnsi" w:cstheme="majorBidi"/>
      <w:sz w:val="18"/>
      <w:szCs w:val="18"/>
    </w:rPr>
  </w:style>
  <w:style w:type="paragraph" w:styleId="ac">
    <w:name w:val="footnote text"/>
    <w:basedOn w:val="a0"/>
    <w:link w:val="ad"/>
    <w:uiPriority w:val="99"/>
    <w:unhideWhenUsed/>
    <w:rsid w:val="00A2652D"/>
    <w:pPr>
      <w:snapToGrid w:val="0"/>
      <w:jc w:val="left"/>
    </w:pPr>
  </w:style>
  <w:style w:type="character" w:customStyle="1" w:styleId="ad">
    <w:name w:val="脚注文字列 (文字)"/>
    <w:basedOn w:val="a1"/>
    <w:link w:val="ac"/>
    <w:uiPriority w:val="99"/>
    <w:rsid w:val="00A2652D"/>
  </w:style>
  <w:style w:type="character" w:styleId="ae">
    <w:name w:val="footnote reference"/>
    <w:basedOn w:val="a1"/>
    <w:uiPriority w:val="99"/>
    <w:unhideWhenUsed/>
    <w:rsid w:val="00A2652D"/>
    <w:rPr>
      <w:vertAlign w:val="superscript"/>
    </w:rPr>
  </w:style>
  <w:style w:type="character" w:styleId="af">
    <w:name w:val="Hyperlink"/>
    <w:basedOn w:val="a1"/>
    <w:uiPriority w:val="99"/>
    <w:unhideWhenUsed/>
    <w:rsid w:val="007953EB"/>
    <w:rPr>
      <w:color w:val="0000FF" w:themeColor="hyperlink"/>
      <w:u w:val="single"/>
    </w:rPr>
  </w:style>
  <w:style w:type="character" w:styleId="af0">
    <w:name w:val="Subtle Emphasis"/>
    <w:basedOn w:val="a1"/>
    <w:uiPriority w:val="19"/>
    <w:semiHidden/>
    <w:qFormat/>
    <w:rsid w:val="00BC336A"/>
    <w:rPr>
      <w:i/>
      <w:iCs/>
      <w:color w:val="404040" w:themeColor="text1" w:themeTint="BF"/>
    </w:rPr>
  </w:style>
  <w:style w:type="character" w:styleId="af1">
    <w:name w:val="Emphasis"/>
    <w:basedOn w:val="a1"/>
    <w:uiPriority w:val="20"/>
    <w:semiHidden/>
    <w:qFormat/>
    <w:rsid w:val="00BC336A"/>
    <w:rPr>
      <w:i/>
      <w:iCs/>
    </w:rPr>
  </w:style>
  <w:style w:type="character" w:styleId="2">
    <w:name w:val="Intense Emphasis"/>
    <w:basedOn w:val="a1"/>
    <w:uiPriority w:val="21"/>
    <w:semiHidden/>
    <w:qFormat/>
    <w:rsid w:val="00BC336A"/>
    <w:rPr>
      <w:i/>
      <w:iCs/>
      <w:color w:val="4F81BD" w:themeColor="accent1"/>
    </w:rPr>
  </w:style>
  <w:style w:type="character" w:styleId="af2">
    <w:name w:val="Strong"/>
    <w:basedOn w:val="a1"/>
    <w:uiPriority w:val="22"/>
    <w:semiHidden/>
    <w:qFormat/>
    <w:rsid w:val="00BC336A"/>
    <w:rPr>
      <w:b/>
      <w:bCs/>
    </w:rPr>
  </w:style>
  <w:style w:type="paragraph" w:styleId="af3">
    <w:name w:val="Quote"/>
    <w:basedOn w:val="a0"/>
    <w:next w:val="a0"/>
    <w:link w:val="af4"/>
    <w:uiPriority w:val="29"/>
    <w:semiHidden/>
    <w:qFormat/>
    <w:rsid w:val="00BC336A"/>
    <w:pPr>
      <w:spacing w:before="200" w:after="160"/>
      <w:ind w:left="864" w:right="864"/>
      <w:jc w:val="center"/>
    </w:pPr>
    <w:rPr>
      <w:i/>
      <w:iCs/>
      <w:color w:val="404040" w:themeColor="text1" w:themeTint="BF"/>
    </w:rPr>
  </w:style>
  <w:style w:type="character" w:customStyle="1" w:styleId="af4">
    <w:name w:val="引用文 (文字)"/>
    <w:basedOn w:val="a1"/>
    <w:link w:val="af3"/>
    <w:uiPriority w:val="29"/>
    <w:rsid w:val="00BC336A"/>
    <w:rPr>
      <w:i/>
      <w:iCs/>
      <w:color w:val="404040" w:themeColor="text1" w:themeTint="BF"/>
    </w:rPr>
  </w:style>
  <w:style w:type="paragraph" w:styleId="20">
    <w:name w:val="Intense Quote"/>
    <w:basedOn w:val="a0"/>
    <w:next w:val="a0"/>
    <w:link w:val="21"/>
    <w:uiPriority w:val="30"/>
    <w:semiHidden/>
    <w:qFormat/>
    <w:rsid w:val="00BC336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1">
    <w:name w:val="引用文 2 (文字)"/>
    <w:basedOn w:val="a1"/>
    <w:link w:val="20"/>
    <w:uiPriority w:val="30"/>
    <w:rsid w:val="00BC336A"/>
    <w:rPr>
      <w:i/>
      <w:iCs/>
      <w:color w:val="4F81BD" w:themeColor="accent1"/>
    </w:rPr>
  </w:style>
  <w:style w:type="character" w:styleId="af5">
    <w:name w:val="Subtle Reference"/>
    <w:basedOn w:val="a1"/>
    <w:uiPriority w:val="31"/>
    <w:semiHidden/>
    <w:qFormat/>
    <w:rsid w:val="00BC336A"/>
    <w:rPr>
      <w:smallCaps/>
      <w:color w:val="5A5A5A" w:themeColor="text1" w:themeTint="A5"/>
    </w:rPr>
  </w:style>
  <w:style w:type="character" w:styleId="22">
    <w:name w:val="Intense Reference"/>
    <w:basedOn w:val="a1"/>
    <w:uiPriority w:val="32"/>
    <w:semiHidden/>
    <w:qFormat/>
    <w:rsid w:val="00BC336A"/>
    <w:rPr>
      <w:b/>
      <w:bCs/>
      <w:smallCaps/>
      <w:color w:val="4F81BD" w:themeColor="accent1"/>
      <w:spacing w:val="5"/>
    </w:rPr>
  </w:style>
  <w:style w:type="character" w:styleId="af6">
    <w:name w:val="Book Title"/>
    <w:basedOn w:val="a1"/>
    <w:uiPriority w:val="33"/>
    <w:semiHidden/>
    <w:qFormat/>
    <w:rsid w:val="00BC336A"/>
    <w:rPr>
      <w:b/>
      <w:bCs/>
      <w:i/>
      <w:iCs/>
      <w:spacing w:val="5"/>
    </w:rPr>
  </w:style>
  <w:style w:type="paragraph" w:styleId="af7">
    <w:name w:val="Body Text"/>
    <w:basedOn w:val="a0"/>
    <w:link w:val="af8"/>
    <w:uiPriority w:val="9"/>
    <w:qFormat/>
    <w:rsid w:val="0014146E"/>
    <w:pPr>
      <w:widowControl/>
      <w:spacing w:after="240"/>
      <w:ind w:firstLine="720"/>
      <w:jc w:val="left"/>
    </w:pPr>
    <w:rPr>
      <w:rFonts w:ascii="Times New Roman" w:eastAsiaTheme="minorHAnsi" w:hAnsi="Times New Roman"/>
      <w:kern w:val="0"/>
      <w:sz w:val="24"/>
      <w:szCs w:val="24"/>
      <w:lang w:eastAsia="en-US" w:bidi="he-IL"/>
    </w:rPr>
  </w:style>
  <w:style w:type="character" w:customStyle="1" w:styleId="af8">
    <w:name w:val="本文 (文字)"/>
    <w:basedOn w:val="a1"/>
    <w:link w:val="af7"/>
    <w:uiPriority w:val="9"/>
    <w:rsid w:val="0014146E"/>
    <w:rPr>
      <w:rFonts w:ascii="Times New Roman" w:eastAsiaTheme="minorHAnsi" w:hAnsi="Times New Roman"/>
      <w:kern w:val="0"/>
      <w:sz w:val="24"/>
      <w:szCs w:val="24"/>
      <w:lang w:eastAsia="en-US" w:bidi="he-IL"/>
    </w:rPr>
  </w:style>
  <w:style w:type="paragraph" w:styleId="3">
    <w:name w:val="List Bullet 3"/>
    <w:basedOn w:val="a0"/>
    <w:uiPriority w:val="39"/>
    <w:qFormat/>
    <w:rsid w:val="0014146E"/>
    <w:pPr>
      <w:widowControl/>
      <w:numPr>
        <w:numId w:val="7"/>
      </w:numPr>
      <w:spacing w:after="240"/>
      <w:jc w:val="left"/>
    </w:pPr>
    <w:rPr>
      <w:rFonts w:ascii="Times New Roman" w:eastAsiaTheme="minorHAnsi" w:hAnsi="Times New Roman"/>
      <w:kern w:val="0"/>
      <w:sz w:val="24"/>
      <w:szCs w:val="24"/>
      <w:lang w:eastAsia="en-US" w:bidi="he-IL"/>
    </w:rPr>
  </w:style>
  <w:style w:type="paragraph" w:styleId="a">
    <w:name w:val="List"/>
    <w:basedOn w:val="a0"/>
    <w:uiPriority w:val="49"/>
    <w:semiHidden/>
    <w:qFormat/>
    <w:rsid w:val="00B83735"/>
    <w:pPr>
      <w:widowControl/>
      <w:numPr>
        <w:numId w:val="8"/>
      </w:numPr>
      <w:jc w:val="left"/>
    </w:pPr>
    <w:rPr>
      <w:rFonts w:ascii="Times New Roman" w:eastAsiaTheme="minorHAnsi" w:hAnsi="Times New Roman"/>
      <w:kern w:val="0"/>
      <w:sz w:val="24"/>
      <w:szCs w:val="24"/>
      <w:lang w:eastAsia="en-US" w:bidi="he-IL"/>
    </w:rPr>
  </w:style>
  <w:style w:type="character" w:styleId="af9">
    <w:name w:val="annotation reference"/>
    <w:basedOn w:val="a1"/>
    <w:uiPriority w:val="99"/>
    <w:semiHidden/>
    <w:unhideWhenUsed/>
    <w:rsid w:val="00C4437D"/>
    <w:rPr>
      <w:sz w:val="18"/>
      <w:szCs w:val="18"/>
    </w:rPr>
  </w:style>
  <w:style w:type="paragraph" w:styleId="afa">
    <w:name w:val="annotation text"/>
    <w:basedOn w:val="a0"/>
    <w:link w:val="afb"/>
    <w:uiPriority w:val="99"/>
    <w:semiHidden/>
    <w:unhideWhenUsed/>
    <w:rsid w:val="00C4437D"/>
    <w:pPr>
      <w:jc w:val="left"/>
    </w:pPr>
  </w:style>
  <w:style w:type="character" w:customStyle="1" w:styleId="afb">
    <w:name w:val="コメント文字列 (文字)"/>
    <w:basedOn w:val="a1"/>
    <w:link w:val="afa"/>
    <w:uiPriority w:val="99"/>
    <w:semiHidden/>
    <w:rsid w:val="00C4437D"/>
  </w:style>
  <w:style w:type="paragraph" w:styleId="afc">
    <w:name w:val="annotation subject"/>
    <w:basedOn w:val="afa"/>
    <w:next w:val="afa"/>
    <w:link w:val="afd"/>
    <w:uiPriority w:val="99"/>
    <w:semiHidden/>
    <w:unhideWhenUsed/>
    <w:rsid w:val="00C4437D"/>
    <w:rPr>
      <w:b/>
      <w:bCs/>
    </w:rPr>
  </w:style>
  <w:style w:type="character" w:customStyle="1" w:styleId="afd">
    <w:name w:val="コメント内容 (文字)"/>
    <w:basedOn w:val="afb"/>
    <w:link w:val="afc"/>
    <w:uiPriority w:val="99"/>
    <w:semiHidden/>
    <w:rsid w:val="00C4437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49" w:qFormat="1"/>
    <w:lsdException w:name="List Bullet 3" w:uiPriority="39" w:qFormat="1"/>
    <w:lsdException w:name="Title" w:semiHidden="0" w:uiPriority="10" w:unhideWhenUsed="0" w:qFormat="1"/>
    <w:lsdException w:name="Default Paragraph Font" w:uiPriority="1"/>
    <w:lsdException w:name="Body Text" w:uiPriority="9"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8D3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uiPriority w:val="34"/>
    <w:semiHidden/>
    <w:qFormat/>
    <w:rsid w:val="00B604A4"/>
    <w:pPr>
      <w:ind w:leftChars="400" w:left="840"/>
    </w:pPr>
  </w:style>
  <w:style w:type="paragraph" w:styleId="a6">
    <w:name w:val="header"/>
    <w:basedOn w:val="a0"/>
    <w:link w:val="a7"/>
    <w:uiPriority w:val="99"/>
    <w:unhideWhenUsed/>
    <w:rsid w:val="00B64543"/>
    <w:pPr>
      <w:tabs>
        <w:tab w:val="center" w:pos="4252"/>
        <w:tab w:val="right" w:pos="8504"/>
      </w:tabs>
      <w:snapToGrid w:val="0"/>
    </w:pPr>
  </w:style>
  <w:style w:type="character" w:customStyle="1" w:styleId="a7">
    <w:name w:val="ヘッダー (文字)"/>
    <w:basedOn w:val="a1"/>
    <w:link w:val="a6"/>
    <w:uiPriority w:val="99"/>
    <w:rsid w:val="00B64543"/>
  </w:style>
  <w:style w:type="paragraph" w:styleId="a8">
    <w:name w:val="footer"/>
    <w:basedOn w:val="a0"/>
    <w:link w:val="a9"/>
    <w:uiPriority w:val="99"/>
    <w:unhideWhenUsed/>
    <w:rsid w:val="00B64543"/>
    <w:pPr>
      <w:tabs>
        <w:tab w:val="center" w:pos="4252"/>
        <w:tab w:val="right" w:pos="8504"/>
      </w:tabs>
      <w:snapToGrid w:val="0"/>
    </w:pPr>
  </w:style>
  <w:style w:type="character" w:customStyle="1" w:styleId="a9">
    <w:name w:val="フッター (文字)"/>
    <w:basedOn w:val="a1"/>
    <w:link w:val="a8"/>
    <w:uiPriority w:val="99"/>
    <w:rsid w:val="00B64543"/>
  </w:style>
  <w:style w:type="paragraph" w:styleId="aa">
    <w:name w:val="Balloon Text"/>
    <w:basedOn w:val="a0"/>
    <w:link w:val="ab"/>
    <w:uiPriority w:val="99"/>
    <w:semiHidden/>
    <w:unhideWhenUsed/>
    <w:rsid w:val="003F7ED5"/>
    <w:rPr>
      <w:rFonts w:asciiTheme="majorHAnsi" w:eastAsiaTheme="majorEastAsia" w:hAnsiTheme="majorHAnsi" w:cstheme="majorBidi"/>
      <w:sz w:val="18"/>
      <w:szCs w:val="18"/>
    </w:rPr>
  </w:style>
  <w:style w:type="character" w:customStyle="1" w:styleId="ab">
    <w:name w:val="吹き出し (文字)"/>
    <w:basedOn w:val="a1"/>
    <w:link w:val="aa"/>
    <w:uiPriority w:val="99"/>
    <w:semiHidden/>
    <w:rsid w:val="003F7ED5"/>
    <w:rPr>
      <w:rFonts w:asciiTheme="majorHAnsi" w:eastAsiaTheme="majorEastAsia" w:hAnsiTheme="majorHAnsi" w:cstheme="majorBidi"/>
      <w:sz w:val="18"/>
      <w:szCs w:val="18"/>
    </w:rPr>
  </w:style>
  <w:style w:type="paragraph" w:styleId="ac">
    <w:name w:val="footnote text"/>
    <w:basedOn w:val="a0"/>
    <w:link w:val="ad"/>
    <w:uiPriority w:val="99"/>
    <w:unhideWhenUsed/>
    <w:rsid w:val="00A2652D"/>
    <w:pPr>
      <w:snapToGrid w:val="0"/>
      <w:jc w:val="left"/>
    </w:pPr>
  </w:style>
  <w:style w:type="character" w:customStyle="1" w:styleId="ad">
    <w:name w:val="脚注文字列 (文字)"/>
    <w:basedOn w:val="a1"/>
    <w:link w:val="ac"/>
    <w:uiPriority w:val="99"/>
    <w:rsid w:val="00A2652D"/>
  </w:style>
  <w:style w:type="character" w:styleId="ae">
    <w:name w:val="footnote reference"/>
    <w:basedOn w:val="a1"/>
    <w:uiPriority w:val="99"/>
    <w:unhideWhenUsed/>
    <w:rsid w:val="00A2652D"/>
    <w:rPr>
      <w:vertAlign w:val="superscript"/>
    </w:rPr>
  </w:style>
  <w:style w:type="character" w:styleId="af">
    <w:name w:val="Hyperlink"/>
    <w:basedOn w:val="a1"/>
    <w:uiPriority w:val="99"/>
    <w:unhideWhenUsed/>
    <w:rsid w:val="007953EB"/>
    <w:rPr>
      <w:color w:val="0000FF" w:themeColor="hyperlink"/>
      <w:u w:val="single"/>
    </w:rPr>
  </w:style>
  <w:style w:type="character" w:styleId="af0">
    <w:name w:val="Subtle Emphasis"/>
    <w:basedOn w:val="a1"/>
    <w:uiPriority w:val="19"/>
    <w:semiHidden/>
    <w:qFormat/>
    <w:rsid w:val="00BC336A"/>
    <w:rPr>
      <w:i/>
      <w:iCs/>
      <w:color w:val="404040" w:themeColor="text1" w:themeTint="BF"/>
    </w:rPr>
  </w:style>
  <w:style w:type="character" w:styleId="af1">
    <w:name w:val="Emphasis"/>
    <w:basedOn w:val="a1"/>
    <w:uiPriority w:val="20"/>
    <w:semiHidden/>
    <w:qFormat/>
    <w:rsid w:val="00BC336A"/>
    <w:rPr>
      <w:i/>
      <w:iCs/>
    </w:rPr>
  </w:style>
  <w:style w:type="character" w:styleId="2">
    <w:name w:val="Intense Emphasis"/>
    <w:basedOn w:val="a1"/>
    <w:uiPriority w:val="21"/>
    <w:semiHidden/>
    <w:qFormat/>
    <w:rsid w:val="00BC336A"/>
    <w:rPr>
      <w:i/>
      <w:iCs/>
      <w:color w:val="4F81BD" w:themeColor="accent1"/>
    </w:rPr>
  </w:style>
  <w:style w:type="character" w:styleId="af2">
    <w:name w:val="Strong"/>
    <w:basedOn w:val="a1"/>
    <w:uiPriority w:val="22"/>
    <w:semiHidden/>
    <w:qFormat/>
    <w:rsid w:val="00BC336A"/>
    <w:rPr>
      <w:b/>
      <w:bCs/>
    </w:rPr>
  </w:style>
  <w:style w:type="paragraph" w:styleId="af3">
    <w:name w:val="Quote"/>
    <w:basedOn w:val="a0"/>
    <w:next w:val="a0"/>
    <w:link w:val="af4"/>
    <w:uiPriority w:val="29"/>
    <w:semiHidden/>
    <w:qFormat/>
    <w:rsid w:val="00BC336A"/>
    <w:pPr>
      <w:spacing w:before="200" w:after="160"/>
      <w:ind w:left="864" w:right="864"/>
      <w:jc w:val="center"/>
    </w:pPr>
    <w:rPr>
      <w:i/>
      <w:iCs/>
      <w:color w:val="404040" w:themeColor="text1" w:themeTint="BF"/>
    </w:rPr>
  </w:style>
  <w:style w:type="character" w:customStyle="1" w:styleId="af4">
    <w:name w:val="引用文 (文字)"/>
    <w:basedOn w:val="a1"/>
    <w:link w:val="af3"/>
    <w:uiPriority w:val="29"/>
    <w:rsid w:val="00BC336A"/>
    <w:rPr>
      <w:i/>
      <w:iCs/>
      <w:color w:val="404040" w:themeColor="text1" w:themeTint="BF"/>
    </w:rPr>
  </w:style>
  <w:style w:type="paragraph" w:styleId="20">
    <w:name w:val="Intense Quote"/>
    <w:basedOn w:val="a0"/>
    <w:next w:val="a0"/>
    <w:link w:val="21"/>
    <w:uiPriority w:val="30"/>
    <w:semiHidden/>
    <w:qFormat/>
    <w:rsid w:val="00BC336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1">
    <w:name w:val="引用文 2 (文字)"/>
    <w:basedOn w:val="a1"/>
    <w:link w:val="20"/>
    <w:uiPriority w:val="30"/>
    <w:rsid w:val="00BC336A"/>
    <w:rPr>
      <w:i/>
      <w:iCs/>
      <w:color w:val="4F81BD" w:themeColor="accent1"/>
    </w:rPr>
  </w:style>
  <w:style w:type="character" w:styleId="af5">
    <w:name w:val="Subtle Reference"/>
    <w:basedOn w:val="a1"/>
    <w:uiPriority w:val="31"/>
    <w:semiHidden/>
    <w:qFormat/>
    <w:rsid w:val="00BC336A"/>
    <w:rPr>
      <w:smallCaps/>
      <w:color w:val="5A5A5A" w:themeColor="text1" w:themeTint="A5"/>
    </w:rPr>
  </w:style>
  <w:style w:type="character" w:styleId="22">
    <w:name w:val="Intense Reference"/>
    <w:basedOn w:val="a1"/>
    <w:uiPriority w:val="32"/>
    <w:semiHidden/>
    <w:qFormat/>
    <w:rsid w:val="00BC336A"/>
    <w:rPr>
      <w:b/>
      <w:bCs/>
      <w:smallCaps/>
      <w:color w:val="4F81BD" w:themeColor="accent1"/>
      <w:spacing w:val="5"/>
    </w:rPr>
  </w:style>
  <w:style w:type="character" w:styleId="af6">
    <w:name w:val="Book Title"/>
    <w:basedOn w:val="a1"/>
    <w:uiPriority w:val="33"/>
    <w:semiHidden/>
    <w:qFormat/>
    <w:rsid w:val="00BC336A"/>
    <w:rPr>
      <w:b/>
      <w:bCs/>
      <w:i/>
      <w:iCs/>
      <w:spacing w:val="5"/>
    </w:rPr>
  </w:style>
  <w:style w:type="paragraph" w:styleId="af7">
    <w:name w:val="Body Text"/>
    <w:basedOn w:val="a0"/>
    <w:link w:val="af8"/>
    <w:uiPriority w:val="9"/>
    <w:qFormat/>
    <w:rsid w:val="0014146E"/>
    <w:pPr>
      <w:widowControl/>
      <w:spacing w:after="240"/>
      <w:ind w:firstLine="720"/>
      <w:jc w:val="left"/>
    </w:pPr>
    <w:rPr>
      <w:rFonts w:ascii="Times New Roman" w:eastAsiaTheme="minorHAnsi" w:hAnsi="Times New Roman"/>
      <w:kern w:val="0"/>
      <w:sz w:val="24"/>
      <w:szCs w:val="24"/>
      <w:lang w:eastAsia="en-US" w:bidi="he-IL"/>
    </w:rPr>
  </w:style>
  <w:style w:type="character" w:customStyle="1" w:styleId="af8">
    <w:name w:val="本文 (文字)"/>
    <w:basedOn w:val="a1"/>
    <w:link w:val="af7"/>
    <w:uiPriority w:val="9"/>
    <w:rsid w:val="0014146E"/>
    <w:rPr>
      <w:rFonts w:ascii="Times New Roman" w:eastAsiaTheme="minorHAnsi" w:hAnsi="Times New Roman"/>
      <w:kern w:val="0"/>
      <w:sz w:val="24"/>
      <w:szCs w:val="24"/>
      <w:lang w:eastAsia="en-US" w:bidi="he-IL"/>
    </w:rPr>
  </w:style>
  <w:style w:type="paragraph" w:styleId="3">
    <w:name w:val="List Bullet 3"/>
    <w:basedOn w:val="a0"/>
    <w:uiPriority w:val="39"/>
    <w:qFormat/>
    <w:rsid w:val="0014146E"/>
    <w:pPr>
      <w:widowControl/>
      <w:numPr>
        <w:numId w:val="7"/>
      </w:numPr>
      <w:spacing w:after="240"/>
      <w:jc w:val="left"/>
    </w:pPr>
    <w:rPr>
      <w:rFonts w:ascii="Times New Roman" w:eastAsiaTheme="minorHAnsi" w:hAnsi="Times New Roman"/>
      <w:kern w:val="0"/>
      <w:sz w:val="24"/>
      <w:szCs w:val="24"/>
      <w:lang w:eastAsia="en-US" w:bidi="he-IL"/>
    </w:rPr>
  </w:style>
  <w:style w:type="paragraph" w:styleId="a">
    <w:name w:val="List"/>
    <w:basedOn w:val="a0"/>
    <w:uiPriority w:val="49"/>
    <w:semiHidden/>
    <w:qFormat/>
    <w:rsid w:val="00B83735"/>
    <w:pPr>
      <w:widowControl/>
      <w:numPr>
        <w:numId w:val="8"/>
      </w:numPr>
      <w:jc w:val="left"/>
    </w:pPr>
    <w:rPr>
      <w:rFonts w:ascii="Times New Roman" w:eastAsiaTheme="minorHAnsi" w:hAnsi="Times New Roman"/>
      <w:kern w:val="0"/>
      <w:sz w:val="24"/>
      <w:szCs w:val="24"/>
      <w:lang w:eastAsia="en-US" w:bidi="he-IL"/>
    </w:rPr>
  </w:style>
  <w:style w:type="character" w:styleId="af9">
    <w:name w:val="annotation reference"/>
    <w:basedOn w:val="a1"/>
    <w:uiPriority w:val="99"/>
    <w:semiHidden/>
    <w:unhideWhenUsed/>
    <w:rsid w:val="00C4437D"/>
    <w:rPr>
      <w:sz w:val="18"/>
      <w:szCs w:val="18"/>
    </w:rPr>
  </w:style>
  <w:style w:type="paragraph" w:styleId="afa">
    <w:name w:val="annotation text"/>
    <w:basedOn w:val="a0"/>
    <w:link w:val="afb"/>
    <w:uiPriority w:val="99"/>
    <w:semiHidden/>
    <w:unhideWhenUsed/>
    <w:rsid w:val="00C4437D"/>
    <w:pPr>
      <w:jc w:val="left"/>
    </w:pPr>
  </w:style>
  <w:style w:type="character" w:customStyle="1" w:styleId="afb">
    <w:name w:val="コメント文字列 (文字)"/>
    <w:basedOn w:val="a1"/>
    <w:link w:val="afa"/>
    <w:uiPriority w:val="99"/>
    <w:semiHidden/>
    <w:rsid w:val="00C4437D"/>
  </w:style>
  <w:style w:type="paragraph" w:styleId="afc">
    <w:name w:val="annotation subject"/>
    <w:basedOn w:val="afa"/>
    <w:next w:val="afa"/>
    <w:link w:val="afd"/>
    <w:uiPriority w:val="99"/>
    <w:semiHidden/>
    <w:unhideWhenUsed/>
    <w:rsid w:val="00C4437D"/>
    <w:rPr>
      <w:b/>
      <w:bCs/>
    </w:rPr>
  </w:style>
  <w:style w:type="character" w:customStyle="1" w:styleId="afd">
    <w:name w:val="コメント内容 (文字)"/>
    <w:basedOn w:val="afb"/>
    <w:link w:val="afc"/>
    <w:uiPriority w:val="99"/>
    <w:semiHidden/>
    <w:rsid w:val="00C443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fsa.go.jp/en/news/2014/20140327-1/01.pdf" TargetMode="External"/><Relationship Id="rId2" Type="http://schemas.openxmlformats.org/officeDocument/2006/relationships/hyperlink" Target="http://www.japaneselawtranslation.go.jp/law/detail/?ft=1&amp;re=01&amp;dn=1&amp;ia=03&amp;co=01&amp;x=0&amp;y=0&amp;ky=%E9%87%91%E8%9E%8D%E5%95%86%E5%93%81%E5%8F%96%E5%BC%95%E6%B8%85%E7%AE%97%E6%A9%9F%E9%96%A2&amp;page=4" TargetMode="External"/><Relationship Id="rId1" Type="http://schemas.openxmlformats.org/officeDocument/2006/relationships/hyperlink" Target="https://www.jpx.co.jp/jscc/en/rule/rule_irs.html" TargetMode="External"/><Relationship Id="rId4" Type="http://schemas.openxmlformats.org/officeDocument/2006/relationships/hyperlink" Target="http://www.japaneselawtranslation.go.jp/law/detail/?id=2476&amp;vm=04&amp;re=01"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67AF0-98E6-4AA2-8797-03F45FB70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A1E86F67.dotm</Template>
  <TotalTime>0</TotalTime>
  <Pages>5</Pages>
  <Words>1010</Words>
  <Characters>5757</Characters>
  <Application>Microsoft Office Word</Application>
  <DocSecurity>0</DocSecurity>
  <Lines>47</Lines>
  <Paragraphs>13</Paragraphs>
  <ScaleCrop>false</ScaleCrop>
  <Company/>
  <LinksUpToDate>false</LinksUpToDate>
  <CharactersWithSpaces>6754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2019-12-18T06:39:00Z</dcterms:created>
  <dcterms:modified xsi:type="dcterms:W3CDTF">2019-12-18T06:39:00Z</dcterms:modified>
</cp:coreProperties>
</file>